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BAE51" w14:textId="77777777" w:rsidR="00F933EF" w:rsidRDefault="00F933EF" w:rsidP="00F933EF">
      <w:pPr>
        <w:spacing w:after="0"/>
      </w:pPr>
    </w:p>
    <w:p w14:paraId="632B2B2C" w14:textId="77777777" w:rsidR="00F933EF" w:rsidRDefault="00F933EF" w:rsidP="00F933EF">
      <w:pPr>
        <w:spacing w:after="0"/>
      </w:pPr>
    </w:p>
    <w:p w14:paraId="0A241759" w14:textId="77777777" w:rsidR="00F933EF" w:rsidRDefault="00F933EF" w:rsidP="00F933EF">
      <w:pPr>
        <w:spacing w:after="0"/>
      </w:pPr>
    </w:p>
    <w:p w14:paraId="25A05513" w14:textId="332E2AB7" w:rsidR="00F933EF" w:rsidRDefault="00AA36EF" w:rsidP="00F933EF">
      <w:pPr>
        <w:spacing w:after="0"/>
        <w:jc w:val="center"/>
      </w:pPr>
      <w:r>
        <w:rPr>
          <w:noProof/>
        </w:rPr>
        <w:drawing>
          <wp:inline distT="0" distB="0" distL="0" distR="0" wp14:anchorId="0D297883" wp14:editId="60402B97">
            <wp:extent cx="2405458" cy="20859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2422855" cy="2101022"/>
                    </a:xfrm>
                    <a:prstGeom prst="rect">
                      <a:avLst/>
                    </a:prstGeom>
                  </pic:spPr>
                </pic:pic>
              </a:graphicData>
            </a:graphic>
          </wp:inline>
        </w:drawing>
      </w:r>
    </w:p>
    <w:p w14:paraId="12EC8608" w14:textId="77777777" w:rsidR="00F933EF" w:rsidRDefault="00F933EF" w:rsidP="00F933EF">
      <w:pPr>
        <w:spacing w:after="0"/>
        <w:jc w:val="center"/>
      </w:pPr>
    </w:p>
    <w:p w14:paraId="16DEA95D" w14:textId="77777777" w:rsidR="00F933EF" w:rsidRDefault="00F933EF" w:rsidP="00F933EF">
      <w:pPr>
        <w:spacing w:after="0"/>
        <w:jc w:val="center"/>
      </w:pPr>
    </w:p>
    <w:p w14:paraId="7714210F" w14:textId="77777777" w:rsidR="00F933EF" w:rsidRDefault="00F933EF" w:rsidP="00F933EF">
      <w:pPr>
        <w:spacing w:after="0"/>
        <w:jc w:val="center"/>
      </w:pPr>
    </w:p>
    <w:p w14:paraId="5A453934" w14:textId="77777777" w:rsidR="00F933EF" w:rsidRDefault="00F933EF" w:rsidP="00F933EF">
      <w:pPr>
        <w:spacing w:after="0"/>
        <w:jc w:val="center"/>
      </w:pPr>
    </w:p>
    <w:p w14:paraId="2CB06A5D" w14:textId="77777777" w:rsidR="00F933EF" w:rsidRDefault="00F933EF" w:rsidP="00F933EF">
      <w:pPr>
        <w:spacing w:after="0"/>
        <w:jc w:val="center"/>
      </w:pPr>
    </w:p>
    <w:p w14:paraId="06ED4FE6" w14:textId="77777777" w:rsidR="00F933EF" w:rsidRDefault="00F933EF" w:rsidP="00F933EF">
      <w:pPr>
        <w:spacing w:after="0"/>
        <w:jc w:val="center"/>
      </w:pPr>
    </w:p>
    <w:p w14:paraId="591EE36D" w14:textId="77777777" w:rsidR="00F933EF" w:rsidRDefault="00F933EF" w:rsidP="00F933EF">
      <w:pPr>
        <w:spacing w:after="0"/>
        <w:jc w:val="center"/>
      </w:pPr>
    </w:p>
    <w:p w14:paraId="1107A145" w14:textId="25984FA1" w:rsidR="00F933EF" w:rsidRPr="00A84891" w:rsidRDefault="00F933EF" w:rsidP="00F933EF">
      <w:pPr>
        <w:spacing w:after="0"/>
        <w:jc w:val="center"/>
        <w:rPr>
          <w:color w:val="365F91" w:themeColor="accent1" w:themeShade="BF"/>
          <w:sz w:val="72"/>
          <w:szCs w:val="72"/>
        </w:rPr>
      </w:pPr>
      <w:r w:rsidRPr="00A84891">
        <w:rPr>
          <w:color w:val="365F91" w:themeColor="accent1" w:themeShade="BF"/>
          <w:sz w:val="72"/>
          <w:szCs w:val="72"/>
        </w:rPr>
        <w:t xml:space="preserve">Differential Rates </w:t>
      </w:r>
      <w:r w:rsidR="009C68C6">
        <w:rPr>
          <w:color w:val="365F91" w:themeColor="accent1" w:themeShade="BF"/>
          <w:sz w:val="72"/>
          <w:szCs w:val="72"/>
        </w:rPr>
        <w:t>20</w:t>
      </w:r>
      <w:r w:rsidR="001A33BD">
        <w:rPr>
          <w:color w:val="365F91" w:themeColor="accent1" w:themeShade="BF"/>
          <w:sz w:val="72"/>
          <w:szCs w:val="72"/>
        </w:rPr>
        <w:t>2</w:t>
      </w:r>
      <w:r w:rsidR="00AA36EF">
        <w:rPr>
          <w:color w:val="365F91" w:themeColor="accent1" w:themeShade="BF"/>
          <w:sz w:val="72"/>
          <w:szCs w:val="72"/>
        </w:rPr>
        <w:t>2</w:t>
      </w:r>
      <w:r w:rsidR="009C68C6">
        <w:rPr>
          <w:color w:val="365F91" w:themeColor="accent1" w:themeShade="BF"/>
          <w:sz w:val="72"/>
          <w:szCs w:val="72"/>
        </w:rPr>
        <w:t>/</w:t>
      </w:r>
      <w:r w:rsidR="008A2219">
        <w:rPr>
          <w:color w:val="365F91" w:themeColor="accent1" w:themeShade="BF"/>
          <w:sz w:val="72"/>
          <w:szCs w:val="72"/>
        </w:rPr>
        <w:t>2</w:t>
      </w:r>
      <w:r w:rsidR="00AA36EF">
        <w:rPr>
          <w:color w:val="365F91" w:themeColor="accent1" w:themeShade="BF"/>
          <w:sz w:val="72"/>
          <w:szCs w:val="72"/>
        </w:rPr>
        <w:t>3</w:t>
      </w:r>
    </w:p>
    <w:p w14:paraId="6CC29148" w14:textId="77777777" w:rsidR="00F933EF" w:rsidRDefault="00F933EF" w:rsidP="00F933EF">
      <w:pPr>
        <w:spacing w:after="0"/>
        <w:jc w:val="center"/>
      </w:pPr>
    </w:p>
    <w:p w14:paraId="7F4C605A" w14:textId="77777777" w:rsidR="00F933EF" w:rsidRDefault="00F933EF" w:rsidP="00F933EF">
      <w:pPr>
        <w:spacing w:after="0"/>
        <w:jc w:val="center"/>
      </w:pPr>
    </w:p>
    <w:p w14:paraId="30195DCC" w14:textId="77777777" w:rsidR="00F933EF" w:rsidRDefault="00F933EF" w:rsidP="00F933EF">
      <w:pPr>
        <w:spacing w:after="0"/>
        <w:jc w:val="center"/>
      </w:pPr>
    </w:p>
    <w:p w14:paraId="583033C0" w14:textId="18D528AF" w:rsidR="00F933EF" w:rsidRDefault="00F933EF" w:rsidP="00F933EF">
      <w:pPr>
        <w:spacing w:after="0"/>
        <w:jc w:val="center"/>
      </w:pPr>
    </w:p>
    <w:p w14:paraId="44867979" w14:textId="77777777" w:rsidR="00AA36EF" w:rsidRDefault="00AA36EF" w:rsidP="00F933EF">
      <w:pPr>
        <w:spacing w:after="0"/>
        <w:jc w:val="center"/>
      </w:pPr>
    </w:p>
    <w:p w14:paraId="4C3E2205" w14:textId="77777777" w:rsidR="00F933EF" w:rsidRDefault="00F933EF" w:rsidP="00F933EF">
      <w:pPr>
        <w:spacing w:after="0"/>
        <w:jc w:val="center"/>
      </w:pPr>
    </w:p>
    <w:p w14:paraId="06ABE86C" w14:textId="6B3BFF84" w:rsidR="00F933EF" w:rsidRPr="00A84891" w:rsidRDefault="00F933EF" w:rsidP="00F933EF">
      <w:pPr>
        <w:spacing w:after="0"/>
        <w:jc w:val="center"/>
        <w:rPr>
          <w:color w:val="365F91" w:themeColor="accent1" w:themeShade="BF"/>
          <w:sz w:val="72"/>
          <w:szCs w:val="72"/>
        </w:rPr>
      </w:pPr>
      <w:r w:rsidRPr="00A84891">
        <w:rPr>
          <w:color w:val="365F91" w:themeColor="accent1" w:themeShade="BF"/>
          <w:sz w:val="72"/>
          <w:szCs w:val="72"/>
        </w:rPr>
        <w:t>Object</w:t>
      </w:r>
      <w:r w:rsidR="0060256F">
        <w:rPr>
          <w:color w:val="365F91" w:themeColor="accent1" w:themeShade="BF"/>
          <w:sz w:val="72"/>
          <w:szCs w:val="72"/>
        </w:rPr>
        <w:t>ive</w:t>
      </w:r>
      <w:r w:rsidRPr="00A84891">
        <w:rPr>
          <w:color w:val="365F91" w:themeColor="accent1" w:themeShade="BF"/>
          <w:sz w:val="72"/>
          <w:szCs w:val="72"/>
        </w:rPr>
        <w:t>s and Reasons</w:t>
      </w:r>
    </w:p>
    <w:p w14:paraId="0C00191B" w14:textId="77777777" w:rsidR="00F933EF" w:rsidRDefault="00F933EF" w:rsidP="00F933EF">
      <w:pPr>
        <w:spacing w:after="0"/>
        <w:jc w:val="center"/>
        <w:rPr>
          <w:sz w:val="24"/>
          <w:szCs w:val="24"/>
        </w:rPr>
      </w:pPr>
    </w:p>
    <w:p w14:paraId="7ACFD82D" w14:textId="77777777" w:rsidR="00F933EF" w:rsidRDefault="00F933EF" w:rsidP="00F933EF">
      <w:pPr>
        <w:spacing w:after="0"/>
        <w:jc w:val="center"/>
        <w:rPr>
          <w:sz w:val="24"/>
          <w:szCs w:val="24"/>
        </w:rPr>
      </w:pPr>
    </w:p>
    <w:p w14:paraId="12A53F78" w14:textId="77777777" w:rsidR="00F933EF" w:rsidRDefault="00F933EF" w:rsidP="00F933EF">
      <w:pPr>
        <w:spacing w:after="0"/>
        <w:jc w:val="center"/>
        <w:rPr>
          <w:sz w:val="24"/>
          <w:szCs w:val="24"/>
        </w:rPr>
      </w:pPr>
    </w:p>
    <w:p w14:paraId="6880A1A7" w14:textId="77777777" w:rsidR="00F933EF" w:rsidRDefault="00F933EF" w:rsidP="00F933EF">
      <w:pPr>
        <w:spacing w:after="0"/>
        <w:jc w:val="center"/>
        <w:rPr>
          <w:sz w:val="24"/>
          <w:szCs w:val="24"/>
        </w:rPr>
      </w:pPr>
    </w:p>
    <w:p w14:paraId="29C67350" w14:textId="77777777" w:rsidR="00F933EF" w:rsidRDefault="00F933EF" w:rsidP="00F933EF">
      <w:pPr>
        <w:spacing w:after="0"/>
        <w:jc w:val="center"/>
        <w:rPr>
          <w:sz w:val="24"/>
          <w:szCs w:val="24"/>
        </w:rPr>
      </w:pPr>
    </w:p>
    <w:p w14:paraId="3D429044" w14:textId="77777777" w:rsidR="00F933EF" w:rsidRDefault="00F933EF" w:rsidP="00F933EF">
      <w:pPr>
        <w:spacing w:after="0"/>
        <w:jc w:val="center"/>
        <w:rPr>
          <w:sz w:val="24"/>
          <w:szCs w:val="24"/>
        </w:rPr>
      </w:pPr>
    </w:p>
    <w:p w14:paraId="3DA55021" w14:textId="77777777" w:rsidR="00F933EF" w:rsidRDefault="00F933EF" w:rsidP="00F933EF">
      <w:pPr>
        <w:spacing w:after="0"/>
        <w:jc w:val="center"/>
        <w:rPr>
          <w:sz w:val="24"/>
          <w:szCs w:val="24"/>
        </w:rPr>
      </w:pPr>
    </w:p>
    <w:p w14:paraId="09FFCA26" w14:textId="77777777" w:rsidR="00F933EF" w:rsidRDefault="00F933EF" w:rsidP="00F933EF">
      <w:pPr>
        <w:spacing w:after="0"/>
        <w:jc w:val="center"/>
        <w:rPr>
          <w:sz w:val="24"/>
          <w:szCs w:val="24"/>
        </w:rPr>
      </w:pPr>
    </w:p>
    <w:p w14:paraId="34FAC436" w14:textId="77777777" w:rsidR="00F933EF" w:rsidRDefault="00F933EF" w:rsidP="00F933EF">
      <w:pPr>
        <w:spacing w:after="0"/>
        <w:jc w:val="center"/>
        <w:rPr>
          <w:sz w:val="24"/>
          <w:szCs w:val="24"/>
        </w:rPr>
      </w:pPr>
    </w:p>
    <w:p w14:paraId="13460C22" w14:textId="77777777" w:rsidR="00F933EF" w:rsidRDefault="00F933EF" w:rsidP="00F933EF">
      <w:pPr>
        <w:spacing w:after="0"/>
        <w:jc w:val="center"/>
        <w:rPr>
          <w:sz w:val="24"/>
          <w:szCs w:val="24"/>
        </w:rPr>
      </w:pPr>
    </w:p>
    <w:p w14:paraId="014C36E4" w14:textId="77777777" w:rsidR="00F933EF" w:rsidRDefault="00F933EF" w:rsidP="00F933EF">
      <w:pPr>
        <w:spacing w:after="0"/>
        <w:jc w:val="center"/>
        <w:rPr>
          <w:sz w:val="24"/>
          <w:szCs w:val="24"/>
        </w:rPr>
      </w:pPr>
    </w:p>
    <w:p w14:paraId="249455BD" w14:textId="17A95BAF" w:rsidR="00A84891" w:rsidRPr="009C68C6" w:rsidRDefault="00A84891" w:rsidP="00A84891">
      <w:pPr>
        <w:pStyle w:val="Default"/>
        <w:jc w:val="center"/>
        <w:rPr>
          <w:rFonts w:ascii="Century Gothic" w:hAnsi="Century Gothic"/>
          <w:color w:val="365F91" w:themeColor="accent1" w:themeShade="BF"/>
          <w:sz w:val="28"/>
          <w:szCs w:val="28"/>
        </w:rPr>
      </w:pPr>
      <w:r w:rsidRPr="009C68C6">
        <w:rPr>
          <w:rFonts w:ascii="Century Gothic" w:hAnsi="Century Gothic"/>
          <w:b/>
          <w:bCs/>
          <w:color w:val="365F91" w:themeColor="accent1" w:themeShade="BF"/>
          <w:sz w:val="28"/>
          <w:szCs w:val="28"/>
        </w:rPr>
        <w:lastRenderedPageBreak/>
        <w:t>OBJECT</w:t>
      </w:r>
      <w:r w:rsidR="0060256F">
        <w:rPr>
          <w:rFonts w:ascii="Century Gothic" w:hAnsi="Century Gothic"/>
          <w:b/>
          <w:bCs/>
          <w:color w:val="365F91" w:themeColor="accent1" w:themeShade="BF"/>
          <w:sz w:val="28"/>
          <w:szCs w:val="28"/>
        </w:rPr>
        <w:t>IVE</w:t>
      </w:r>
      <w:r w:rsidRPr="009C68C6">
        <w:rPr>
          <w:rFonts w:ascii="Century Gothic" w:hAnsi="Century Gothic"/>
          <w:b/>
          <w:bCs/>
          <w:color w:val="365F91" w:themeColor="accent1" w:themeShade="BF"/>
          <w:sz w:val="28"/>
          <w:szCs w:val="28"/>
        </w:rPr>
        <w:t>S OF AND REASONS FOR PROPOSED</w:t>
      </w:r>
    </w:p>
    <w:p w14:paraId="69A9FA04" w14:textId="4A25BFDF" w:rsidR="00A84891" w:rsidRDefault="00A84891" w:rsidP="00A84891">
      <w:pPr>
        <w:pStyle w:val="Default"/>
        <w:jc w:val="center"/>
        <w:rPr>
          <w:rFonts w:ascii="Century Gothic" w:hAnsi="Century Gothic"/>
          <w:b/>
          <w:bCs/>
          <w:color w:val="365F91" w:themeColor="accent1" w:themeShade="BF"/>
          <w:sz w:val="28"/>
          <w:szCs w:val="28"/>
        </w:rPr>
      </w:pPr>
      <w:r w:rsidRPr="009C68C6">
        <w:rPr>
          <w:rFonts w:ascii="Century Gothic" w:hAnsi="Century Gothic"/>
          <w:b/>
          <w:bCs/>
          <w:color w:val="365F91" w:themeColor="accent1" w:themeShade="BF"/>
          <w:sz w:val="28"/>
          <w:szCs w:val="28"/>
        </w:rPr>
        <w:t>DIFFERENTIAL RATES</w:t>
      </w:r>
    </w:p>
    <w:p w14:paraId="253EAD3F" w14:textId="77777777" w:rsidR="008F3318" w:rsidRPr="008F3318" w:rsidRDefault="008F3318" w:rsidP="00A84891">
      <w:pPr>
        <w:pStyle w:val="Default"/>
        <w:jc w:val="center"/>
        <w:rPr>
          <w:rFonts w:ascii="Century Gothic" w:hAnsi="Century Gothic"/>
          <w:color w:val="365F91" w:themeColor="accent1" w:themeShade="BF"/>
          <w:sz w:val="22"/>
          <w:szCs w:val="22"/>
        </w:rPr>
      </w:pPr>
    </w:p>
    <w:p w14:paraId="38E95ACC" w14:textId="5B4B4FAC" w:rsidR="00F933EF" w:rsidRPr="009C68C6" w:rsidRDefault="008F3318" w:rsidP="00A84891">
      <w:pPr>
        <w:spacing w:after="0"/>
        <w:jc w:val="center"/>
        <w:rPr>
          <w:rFonts w:ascii="Century Gothic" w:hAnsi="Century Gothic"/>
          <w:color w:val="365F91" w:themeColor="accent1" w:themeShade="BF"/>
          <w:sz w:val="24"/>
          <w:szCs w:val="24"/>
        </w:rPr>
      </w:pPr>
      <w:r>
        <w:rPr>
          <w:rFonts w:ascii="Century Gothic" w:hAnsi="Century Gothic"/>
          <w:b/>
          <w:bCs/>
          <w:color w:val="365F91" w:themeColor="accent1" w:themeShade="BF"/>
        </w:rPr>
        <w:t>For the year ending 30 June 20</w:t>
      </w:r>
      <w:r w:rsidR="008A2219">
        <w:rPr>
          <w:rFonts w:ascii="Century Gothic" w:hAnsi="Century Gothic"/>
          <w:b/>
          <w:bCs/>
          <w:color w:val="365F91" w:themeColor="accent1" w:themeShade="BF"/>
        </w:rPr>
        <w:t>2</w:t>
      </w:r>
      <w:r w:rsidR="00AA36EF">
        <w:rPr>
          <w:rFonts w:ascii="Century Gothic" w:hAnsi="Century Gothic"/>
          <w:b/>
          <w:bCs/>
          <w:color w:val="365F91" w:themeColor="accent1" w:themeShade="BF"/>
        </w:rPr>
        <w:t>3</w:t>
      </w:r>
    </w:p>
    <w:p w14:paraId="6B4D1ACD" w14:textId="77777777" w:rsidR="00F933EF" w:rsidRDefault="00F933EF" w:rsidP="00F933EF">
      <w:pPr>
        <w:spacing w:after="0"/>
        <w:jc w:val="center"/>
        <w:rPr>
          <w:sz w:val="24"/>
          <w:szCs w:val="24"/>
        </w:rPr>
      </w:pPr>
    </w:p>
    <w:p w14:paraId="080A0A62" w14:textId="77777777" w:rsidR="00076538" w:rsidRDefault="00076538" w:rsidP="00F933EF">
      <w:pPr>
        <w:spacing w:after="0"/>
        <w:jc w:val="center"/>
        <w:rPr>
          <w:sz w:val="24"/>
          <w:szCs w:val="24"/>
        </w:rPr>
      </w:pPr>
    </w:p>
    <w:p w14:paraId="043D1843" w14:textId="77777777" w:rsidR="00A84EE3" w:rsidRPr="009C68C6" w:rsidRDefault="00A84EE3" w:rsidP="00A84EE3">
      <w:pPr>
        <w:autoSpaceDE w:val="0"/>
        <w:autoSpaceDN w:val="0"/>
        <w:adjustRightInd w:val="0"/>
        <w:spacing w:after="0" w:line="240" w:lineRule="auto"/>
        <w:rPr>
          <w:rFonts w:ascii="Century Gothic" w:hAnsi="Century Gothic" w:cs="Times New Roman"/>
          <w:color w:val="000000"/>
          <w:sz w:val="28"/>
          <w:szCs w:val="28"/>
        </w:rPr>
      </w:pPr>
      <w:r w:rsidRPr="009C68C6">
        <w:rPr>
          <w:rFonts w:ascii="Century Gothic" w:hAnsi="Century Gothic" w:cs="Times New Roman"/>
          <w:b/>
          <w:bCs/>
          <w:color w:val="365F91" w:themeColor="accent1" w:themeShade="BF"/>
          <w:sz w:val="28"/>
          <w:szCs w:val="28"/>
        </w:rPr>
        <w:t>Introduction</w:t>
      </w:r>
      <w:r w:rsidRPr="009C68C6">
        <w:rPr>
          <w:rFonts w:ascii="Century Gothic" w:hAnsi="Century Gothic" w:cs="Times New Roman"/>
          <w:b/>
          <w:bCs/>
          <w:color w:val="000000"/>
          <w:sz w:val="28"/>
          <w:szCs w:val="28"/>
        </w:rPr>
        <w:t xml:space="preserve"> </w:t>
      </w:r>
    </w:p>
    <w:p w14:paraId="36D880D5" w14:textId="72F7110E" w:rsidR="00A84EE3" w:rsidRPr="009C68C6" w:rsidRDefault="00A84EE3" w:rsidP="00687DBC">
      <w:pPr>
        <w:autoSpaceDE w:val="0"/>
        <w:autoSpaceDN w:val="0"/>
        <w:adjustRightInd w:val="0"/>
        <w:spacing w:after="0" w:line="240" w:lineRule="auto"/>
        <w:jc w:val="both"/>
        <w:rPr>
          <w:rFonts w:ascii="Century Gothic" w:hAnsi="Century Gothic" w:cs="Times New Roman"/>
          <w:color w:val="000000"/>
        </w:rPr>
      </w:pPr>
      <w:r w:rsidRPr="009C68C6">
        <w:rPr>
          <w:rFonts w:ascii="Century Gothic" w:hAnsi="Century Gothic" w:cs="Times New Roman"/>
          <w:color w:val="000000"/>
        </w:rPr>
        <w:t xml:space="preserve">The following Objects and Reasons are provided in accordance with Section 6.36 of the </w:t>
      </w:r>
      <w:r w:rsidRPr="009C68C6">
        <w:rPr>
          <w:rFonts w:ascii="Century Gothic" w:hAnsi="Century Gothic" w:cs="Times New Roman"/>
          <w:color w:val="000000"/>
          <w:sz w:val="23"/>
          <w:szCs w:val="23"/>
        </w:rPr>
        <w:t xml:space="preserve">Local Government Act 1995 </w:t>
      </w:r>
      <w:r w:rsidR="00503DB9">
        <w:rPr>
          <w:rFonts w:ascii="Century Gothic" w:hAnsi="Century Gothic" w:cs="Times New Roman"/>
          <w:color w:val="000000"/>
        </w:rPr>
        <w:t>(the Act) and</w:t>
      </w:r>
      <w:r w:rsidRPr="009C68C6">
        <w:rPr>
          <w:rFonts w:ascii="Century Gothic" w:hAnsi="Century Gothic" w:cs="Times New Roman"/>
          <w:color w:val="000000"/>
        </w:rPr>
        <w:t xml:space="preserve"> Council’s “Notice of Intention to Levy Differential Rates” to advertise the Objects and Reasons for the differential rates as part of the </w:t>
      </w:r>
      <w:r w:rsidR="00AA36EF">
        <w:rPr>
          <w:rFonts w:ascii="Century Gothic" w:hAnsi="Century Gothic" w:cs="Times New Roman"/>
          <w:color w:val="000000"/>
        </w:rPr>
        <w:t>2022/2023</w:t>
      </w:r>
      <w:r w:rsidRPr="009C68C6">
        <w:rPr>
          <w:rFonts w:ascii="Century Gothic" w:hAnsi="Century Gothic" w:cs="Times New Roman"/>
          <w:color w:val="000000"/>
        </w:rPr>
        <w:t xml:space="preserve"> Budget process on various categories of properties within the Shire. </w:t>
      </w:r>
    </w:p>
    <w:p w14:paraId="2AD33197" w14:textId="77777777" w:rsidR="00A84EE3" w:rsidRDefault="00A84EE3" w:rsidP="00A84EE3">
      <w:pPr>
        <w:autoSpaceDE w:val="0"/>
        <w:autoSpaceDN w:val="0"/>
        <w:adjustRightInd w:val="0"/>
        <w:spacing w:after="0" w:line="240" w:lineRule="auto"/>
        <w:rPr>
          <w:rFonts w:ascii="Times New Roman" w:hAnsi="Times New Roman" w:cs="Times New Roman"/>
          <w:b/>
          <w:bCs/>
          <w:color w:val="000000"/>
          <w:sz w:val="28"/>
          <w:szCs w:val="28"/>
        </w:rPr>
      </w:pPr>
    </w:p>
    <w:p w14:paraId="032228E7" w14:textId="77777777" w:rsidR="00A84EE3" w:rsidRPr="009C68C6" w:rsidRDefault="00A84EE3" w:rsidP="00A84EE3">
      <w:pPr>
        <w:autoSpaceDE w:val="0"/>
        <w:autoSpaceDN w:val="0"/>
        <w:adjustRightInd w:val="0"/>
        <w:spacing w:after="0" w:line="240" w:lineRule="auto"/>
        <w:rPr>
          <w:rFonts w:ascii="Century Gothic" w:hAnsi="Century Gothic" w:cs="Times New Roman"/>
          <w:color w:val="365F91" w:themeColor="accent1" w:themeShade="BF"/>
          <w:sz w:val="28"/>
          <w:szCs w:val="28"/>
        </w:rPr>
      </w:pPr>
      <w:r w:rsidRPr="009C68C6">
        <w:rPr>
          <w:rFonts w:ascii="Century Gothic" w:hAnsi="Century Gothic" w:cs="Times New Roman"/>
          <w:b/>
          <w:bCs/>
          <w:color w:val="365F91" w:themeColor="accent1" w:themeShade="BF"/>
          <w:sz w:val="28"/>
          <w:szCs w:val="28"/>
        </w:rPr>
        <w:t xml:space="preserve">Rates </w:t>
      </w:r>
    </w:p>
    <w:p w14:paraId="5087DE7D" w14:textId="1D538E66" w:rsidR="00A84EE3" w:rsidRPr="009C68C6" w:rsidRDefault="00A84EE3" w:rsidP="00687DBC">
      <w:pPr>
        <w:autoSpaceDE w:val="0"/>
        <w:autoSpaceDN w:val="0"/>
        <w:adjustRightInd w:val="0"/>
        <w:spacing w:after="0" w:line="240" w:lineRule="auto"/>
        <w:jc w:val="both"/>
        <w:rPr>
          <w:rFonts w:ascii="Century Gothic" w:hAnsi="Century Gothic" w:cs="Times New Roman"/>
          <w:color w:val="000000"/>
        </w:rPr>
      </w:pPr>
      <w:r w:rsidRPr="009C68C6">
        <w:rPr>
          <w:rFonts w:ascii="Century Gothic" w:hAnsi="Century Gothic" w:cs="Times New Roman"/>
          <w:color w:val="000000"/>
        </w:rPr>
        <w:t>Rates are levied on all rateable properties within the boundaries of the Shire of Yilgarn in accordance with the Local Government Act 1995.</w:t>
      </w:r>
      <w:r w:rsidR="00B823FF">
        <w:rPr>
          <w:rFonts w:ascii="Century Gothic" w:hAnsi="Century Gothic" w:cs="Times New Roman"/>
          <w:color w:val="000000"/>
        </w:rPr>
        <w:t xml:space="preserve">  </w:t>
      </w:r>
      <w:r w:rsidRPr="009C68C6">
        <w:rPr>
          <w:rFonts w:ascii="Century Gothic" w:hAnsi="Century Gothic" w:cs="Times New Roman"/>
          <w:color w:val="000000"/>
        </w:rPr>
        <w:t xml:space="preserve">The overall objective for the raising of the proposed rates and charges in the </w:t>
      </w:r>
      <w:r w:rsidR="009A6A82">
        <w:rPr>
          <w:rFonts w:ascii="Century Gothic" w:hAnsi="Century Gothic" w:cs="Times New Roman"/>
          <w:color w:val="000000"/>
        </w:rPr>
        <w:t>202</w:t>
      </w:r>
      <w:r w:rsidR="00AA36EF">
        <w:rPr>
          <w:rFonts w:ascii="Century Gothic" w:hAnsi="Century Gothic" w:cs="Times New Roman"/>
          <w:color w:val="000000"/>
        </w:rPr>
        <w:t>2</w:t>
      </w:r>
      <w:r w:rsidR="009A6A82">
        <w:rPr>
          <w:rFonts w:ascii="Century Gothic" w:hAnsi="Century Gothic" w:cs="Times New Roman"/>
          <w:color w:val="000000"/>
        </w:rPr>
        <w:t>/202</w:t>
      </w:r>
      <w:r w:rsidR="00AA36EF">
        <w:rPr>
          <w:rFonts w:ascii="Century Gothic" w:hAnsi="Century Gothic" w:cs="Times New Roman"/>
          <w:color w:val="000000"/>
        </w:rPr>
        <w:t>3</w:t>
      </w:r>
      <w:r w:rsidRPr="009C68C6">
        <w:rPr>
          <w:rFonts w:ascii="Century Gothic" w:hAnsi="Century Gothic" w:cs="Times New Roman"/>
          <w:color w:val="000000"/>
        </w:rPr>
        <w:t xml:space="preserve"> Budget is to provide for the funding requirements of the Shire’s services, activities, financing costs and the current and future capital requirements of the Shire in light of the </w:t>
      </w:r>
      <w:r w:rsidR="008A2219" w:rsidRPr="009C68C6">
        <w:rPr>
          <w:rFonts w:ascii="Century Gothic" w:hAnsi="Century Gothic" w:cs="Times New Roman"/>
          <w:color w:val="000000"/>
        </w:rPr>
        <w:t>Ten-Year</w:t>
      </w:r>
      <w:r w:rsidRPr="009C68C6">
        <w:rPr>
          <w:rFonts w:ascii="Century Gothic" w:hAnsi="Century Gothic" w:cs="Times New Roman"/>
          <w:color w:val="000000"/>
        </w:rPr>
        <w:t xml:space="preserve"> </w:t>
      </w:r>
      <w:r w:rsidR="008A2219" w:rsidRPr="009C68C6">
        <w:rPr>
          <w:rFonts w:ascii="Century Gothic" w:hAnsi="Century Gothic" w:cs="Times New Roman"/>
          <w:color w:val="000000"/>
        </w:rPr>
        <w:t>Long-Term</w:t>
      </w:r>
      <w:r w:rsidRPr="009C68C6">
        <w:rPr>
          <w:rFonts w:ascii="Century Gothic" w:hAnsi="Century Gothic" w:cs="Times New Roman"/>
          <w:color w:val="000000"/>
        </w:rPr>
        <w:t xml:space="preserve"> Financial Plan. </w:t>
      </w:r>
      <w:r w:rsidR="00076538" w:rsidRPr="009C68C6">
        <w:rPr>
          <w:rFonts w:ascii="Century Gothic" w:hAnsi="Century Gothic" w:cs="Times New Roman"/>
          <w:color w:val="000000"/>
        </w:rPr>
        <w:t>The application of differential rating maintains equity in the rating of properties across the Shire.</w:t>
      </w:r>
    </w:p>
    <w:p w14:paraId="076F4093" w14:textId="77777777" w:rsidR="00A84EE3" w:rsidRPr="009C68C6" w:rsidRDefault="00A84EE3" w:rsidP="00A84EE3">
      <w:pPr>
        <w:autoSpaceDE w:val="0"/>
        <w:autoSpaceDN w:val="0"/>
        <w:adjustRightInd w:val="0"/>
        <w:spacing w:after="0" w:line="240" w:lineRule="auto"/>
        <w:rPr>
          <w:rFonts w:ascii="Century Gothic" w:hAnsi="Century Gothic" w:cs="Times New Roman"/>
          <w:color w:val="000000"/>
        </w:rPr>
      </w:pPr>
      <w:r w:rsidRPr="009C68C6">
        <w:rPr>
          <w:rFonts w:ascii="Century Gothic" w:hAnsi="Century Gothic" w:cs="Times New Roman"/>
          <w:color w:val="000000"/>
        </w:rPr>
        <w:t xml:space="preserve"> </w:t>
      </w:r>
    </w:p>
    <w:p w14:paraId="50C787E8" w14:textId="77777777" w:rsidR="009C68C6" w:rsidRDefault="00A84EE3" w:rsidP="00A84EE3">
      <w:pPr>
        <w:autoSpaceDE w:val="0"/>
        <w:autoSpaceDN w:val="0"/>
        <w:adjustRightInd w:val="0"/>
        <w:spacing w:after="0" w:line="240" w:lineRule="auto"/>
        <w:rPr>
          <w:rFonts w:ascii="Century Gothic" w:hAnsi="Century Gothic" w:cs="Times New Roman"/>
          <w:color w:val="000000"/>
        </w:rPr>
      </w:pPr>
      <w:r w:rsidRPr="009C68C6">
        <w:rPr>
          <w:rFonts w:ascii="Century Gothic" w:hAnsi="Century Gothic" w:cs="Times New Roman"/>
          <w:color w:val="000000"/>
        </w:rPr>
        <w:t>Council will implement the following differential rating categories:</w:t>
      </w:r>
    </w:p>
    <w:p w14:paraId="520D05BE" w14:textId="7CFEA9DD" w:rsidR="00A84EE3" w:rsidRPr="009C68C6" w:rsidRDefault="00A84EE3" w:rsidP="00A84EE3">
      <w:pPr>
        <w:autoSpaceDE w:val="0"/>
        <w:autoSpaceDN w:val="0"/>
        <w:adjustRightInd w:val="0"/>
        <w:spacing w:after="0" w:line="240" w:lineRule="auto"/>
        <w:rPr>
          <w:rFonts w:ascii="Century Gothic" w:hAnsi="Century Gothic" w:cs="Times New Roman"/>
          <w:color w:val="000000"/>
        </w:rPr>
      </w:pPr>
      <w:r w:rsidRPr="009C68C6">
        <w:rPr>
          <w:rFonts w:ascii="Century Gothic" w:hAnsi="Century Gothic" w:cs="Times New Roman"/>
          <w:color w:val="000000"/>
        </w:rPr>
        <w:t xml:space="preserve"> </w:t>
      </w:r>
    </w:p>
    <w:p w14:paraId="58A228A8" w14:textId="7BF08EAB" w:rsidR="00A84EE3" w:rsidRPr="009C68C6" w:rsidRDefault="00A84EE3" w:rsidP="009C68C6">
      <w:pPr>
        <w:pStyle w:val="ListParagraph"/>
        <w:numPr>
          <w:ilvl w:val="0"/>
          <w:numId w:val="1"/>
        </w:numPr>
        <w:autoSpaceDE w:val="0"/>
        <w:autoSpaceDN w:val="0"/>
        <w:adjustRightInd w:val="0"/>
        <w:spacing w:after="6" w:line="240" w:lineRule="auto"/>
        <w:rPr>
          <w:rFonts w:ascii="Century Gothic" w:hAnsi="Century Gothic" w:cs="Times New Roman"/>
          <w:color w:val="000000"/>
        </w:rPr>
      </w:pPr>
      <w:r w:rsidRPr="009C68C6">
        <w:rPr>
          <w:rFonts w:ascii="Century Gothic" w:hAnsi="Century Gothic" w:cs="Times New Roman"/>
          <w:color w:val="000000"/>
        </w:rPr>
        <w:t xml:space="preserve">Gross Rental Value Residential/Industrial </w:t>
      </w:r>
    </w:p>
    <w:p w14:paraId="5FFE9EAE" w14:textId="0C5519F9" w:rsidR="00A84EE3" w:rsidRPr="009C68C6" w:rsidRDefault="00A84EE3" w:rsidP="009C68C6">
      <w:pPr>
        <w:pStyle w:val="ListParagraph"/>
        <w:numPr>
          <w:ilvl w:val="0"/>
          <w:numId w:val="1"/>
        </w:numPr>
        <w:autoSpaceDE w:val="0"/>
        <w:autoSpaceDN w:val="0"/>
        <w:adjustRightInd w:val="0"/>
        <w:spacing w:after="6" w:line="240" w:lineRule="auto"/>
        <w:rPr>
          <w:rFonts w:ascii="Century Gothic" w:hAnsi="Century Gothic" w:cs="Times New Roman"/>
          <w:color w:val="000000"/>
        </w:rPr>
      </w:pPr>
      <w:r w:rsidRPr="009C68C6">
        <w:rPr>
          <w:rFonts w:ascii="Century Gothic" w:hAnsi="Century Gothic" w:cs="Times New Roman"/>
          <w:color w:val="000000"/>
        </w:rPr>
        <w:t xml:space="preserve">Gross Rental Value Commercial </w:t>
      </w:r>
    </w:p>
    <w:p w14:paraId="461A5765" w14:textId="721A5A63" w:rsidR="00A84EE3" w:rsidRPr="009C68C6" w:rsidRDefault="009C68C6" w:rsidP="009C68C6">
      <w:pPr>
        <w:pStyle w:val="ListParagraph"/>
        <w:numPr>
          <w:ilvl w:val="0"/>
          <w:numId w:val="1"/>
        </w:numPr>
        <w:autoSpaceDE w:val="0"/>
        <w:autoSpaceDN w:val="0"/>
        <w:adjustRightInd w:val="0"/>
        <w:spacing w:after="6" w:line="240" w:lineRule="auto"/>
        <w:rPr>
          <w:rFonts w:ascii="Century Gothic" w:hAnsi="Century Gothic" w:cs="Times New Roman"/>
          <w:color w:val="000000"/>
        </w:rPr>
      </w:pPr>
      <w:r>
        <w:rPr>
          <w:rFonts w:ascii="Century Gothic" w:hAnsi="Century Gothic" w:cs="Times New Roman"/>
          <w:color w:val="000000"/>
        </w:rPr>
        <w:t>G</w:t>
      </w:r>
      <w:r w:rsidR="00A84EE3" w:rsidRPr="009C68C6">
        <w:rPr>
          <w:rFonts w:ascii="Century Gothic" w:hAnsi="Century Gothic" w:cs="Times New Roman"/>
          <w:color w:val="000000"/>
        </w:rPr>
        <w:t xml:space="preserve">ross Rental Value Mine Sites  </w:t>
      </w:r>
    </w:p>
    <w:p w14:paraId="7B97A3E4" w14:textId="4308FA21" w:rsidR="00A84EE3" w:rsidRPr="009C68C6" w:rsidRDefault="00A84EE3" w:rsidP="009C68C6">
      <w:pPr>
        <w:pStyle w:val="ListParagraph"/>
        <w:numPr>
          <w:ilvl w:val="0"/>
          <w:numId w:val="1"/>
        </w:numPr>
        <w:autoSpaceDE w:val="0"/>
        <w:autoSpaceDN w:val="0"/>
        <w:adjustRightInd w:val="0"/>
        <w:spacing w:after="6" w:line="240" w:lineRule="auto"/>
        <w:rPr>
          <w:rFonts w:ascii="Century Gothic" w:hAnsi="Century Gothic" w:cs="Times New Roman"/>
          <w:color w:val="000000"/>
        </w:rPr>
      </w:pPr>
      <w:r w:rsidRPr="009C68C6">
        <w:rPr>
          <w:rFonts w:ascii="Century Gothic" w:hAnsi="Century Gothic" w:cs="Times New Roman"/>
          <w:color w:val="000000"/>
        </w:rPr>
        <w:t xml:space="preserve">Gross Rental Value Single Persons Quarters (SPQ) </w:t>
      </w:r>
    </w:p>
    <w:p w14:paraId="037758BE" w14:textId="5E2716E4" w:rsidR="00A84EE3" w:rsidRPr="009C68C6" w:rsidRDefault="00A84EE3" w:rsidP="009C68C6">
      <w:pPr>
        <w:pStyle w:val="ListParagraph"/>
        <w:numPr>
          <w:ilvl w:val="0"/>
          <w:numId w:val="1"/>
        </w:numPr>
        <w:autoSpaceDE w:val="0"/>
        <w:autoSpaceDN w:val="0"/>
        <w:adjustRightInd w:val="0"/>
        <w:spacing w:after="6" w:line="240" w:lineRule="auto"/>
        <w:rPr>
          <w:rFonts w:ascii="Century Gothic" w:hAnsi="Century Gothic" w:cs="Times New Roman"/>
          <w:color w:val="000000"/>
        </w:rPr>
      </w:pPr>
      <w:r w:rsidRPr="009C68C6">
        <w:rPr>
          <w:rFonts w:ascii="Century Gothic" w:hAnsi="Century Gothic" w:cs="Times New Roman"/>
          <w:color w:val="000000"/>
        </w:rPr>
        <w:t xml:space="preserve">Unimproved Values Rural </w:t>
      </w:r>
    </w:p>
    <w:p w14:paraId="14942EB1" w14:textId="2BAF3E88" w:rsidR="00A84EE3" w:rsidRPr="009C68C6" w:rsidRDefault="00A84EE3" w:rsidP="009C68C6">
      <w:pPr>
        <w:pStyle w:val="ListParagraph"/>
        <w:numPr>
          <w:ilvl w:val="0"/>
          <w:numId w:val="1"/>
        </w:numPr>
        <w:autoSpaceDE w:val="0"/>
        <w:autoSpaceDN w:val="0"/>
        <w:adjustRightInd w:val="0"/>
        <w:spacing w:after="0" w:line="240" w:lineRule="auto"/>
        <w:rPr>
          <w:rFonts w:ascii="Century Gothic" w:hAnsi="Century Gothic" w:cs="Times New Roman"/>
          <w:color w:val="000000"/>
        </w:rPr>
      </w:pPr>
      <w:r w:rsidRPr="009C68C6">
        <w:rPr>
          <w:rFonts w:ascii="Century Gothic" w:hAnsi="Century Gothic" w:cs="Times New Roman"/>
          <w:color w:val="000000"/>
        </w:rPr>
        <w:t xml:space="preserve">Unimproved Values Mining </w:t>
      </w:r>
    </w:p>
    <w:p w14:paraId="13D00296" w14:textId="77777777" w:rsidR="00F933EF" w:rsidRPr="009C68C6" w:rsidRDefault="00F933EF" w:rsidP="00F933EF">
      <w:pPr>
        <w:spacing w:after="0"/>
        <w:jc w:val="center"/>
        <w:rPr>
          <w:rFonts w:ascii="Century Gothic" w:hAnsi="Century Gothic"/>
          <w:sz w:val="24"/>
          <w:szCs w:val="24"/>
        </w:rPr>
      </w:pPr>
    </w:p>
    <w:p w14:paraId="2DFFF681" w14:textId="77777777" w:rsidR="00076538" w:rsidRPr="009C68C6" w:rsidRDefault="00076538" w:rsidP="00076538">
      <w:pPr>
        <w:autoSpaceDE w:val="0"/>
        <w:autoSpaceDN w:val="0"/>
        <w:adjustRightInd w:val="0"/>
        <w:spacing w:after="0" w:line="240" w:lineRule="auto"/>
        <w:rPr>
          <w:rFonts w:ascii="Century Gothic" w:hAnsi="Century Gothic" w:cs="Times New Roman"/>
          <w:color w:val="365F91" w:themeColor="accent1" w:themeShade="BF"/>
          <w:sz w:val="28"/>
          <w:szCs w:val="28"/>
        </w:rPr>
      </w:pPr>
      <w:r w:rsidRPr="009C68C6">
        <w:rPr>
          <w:rFonts w:ascii="Century Gothic" w:hAnsi="Century Gothic" w:cs="Times New Roman"/>
          <w:b/>
          <w:bCs/>
          <w:color w:val="365F91" w:themeColor="accent1" w:themeShade="BF"/>
          <w:sz w:val="28"/>
          <w:szCs w:val="28"/>
        </w:rPr>
        <w:t xml:space="preserve">Valuations </w:t>
      </w:r>
    </w:p>
    <w:p w14:paraId="4FA08DAD" w14:textId="0CFCB559" w:rsidR="00076538" w:rsidRPr="009C68C6" w:rsidRDefault="00076538" w:rsidP="00687DBC">
      <w:pPr>
        <w:autoSpaceDE w:val="0"/>
        <w:autoSpaceDN w:val="0"/>
        <w:adjustRightInd w:val="0"/>
        <w:spacing w:after="0" w:line="240" w:lineRule="auto"/>
        <w:jc w:val="both"/>
        <w:rPr>
          <w:rFonts w:ascii="Century Gothic" w:hAnsi="Century Gothic" w:cs="Times New Roman"/>
          <w:color w:val="000000"/>
        </w:rPr>
      </w:pPr>
      <w:r w:rsidRPr="009C68C6">
        <w:rPr>
          <w:rFonts w:ascii="Century Gothic" w:hAnsi="Century Gothic" w:cs="Times New Roman"/>
          <w:color w:val="000000"/>
        </w:rPr>
        <w:t xml:space="preserve">Landgate is the statutory authority responsible for the valuation process in accordance with the provisions of the </w:t>
      </w:r>
      <w:r w:rsidRPr="009C68C6">
        <w:rPr>
          <w:rFonts w:ascii="Century Gothic" w:hAnsi="Century Gothic" w:cs="Times New Roman"/>
          <w:color w:val="000000"/>
          <w:sz w:val="23"/>
          <w:szCs w:val="23"/>
        </w:rPr>
        <w:t xml:space="preserve">Local Government Act 1995 </w:t>
      </w:r>
      <w:r w:rsidRPr="009C68C6">
        <w:rPr>
          <w:rFonts w:ascii="Century Gothic" w:hAnsi="Century Gothic" w:cs="Times New Roman"/>
          <w:color w:val="000000"/>
        </w:rPr>
        <w:t xml:space="preserve">and the </w:t>
      </w:r>
      <w:r w:rsidRPr="009C68C6">
        <w:rPr>
          <w:rFonts w:ascii="Century Gothic" w:hAnsi="Century Gothic" w:cs="Times New Roman"/>
          <w:color w:val="000000"/>
          <w:sz w:val="23"/>
          <w:szCs w:val="23"/>
        </w:rPr>
        <w:t xml:space="preserve">Valuation of Land Act 1978 </w:t>
      </w:r>
      <w:r w:rsidRPr="009C68C6">
        <w:rPr>
          <w:rFonts w:ascii="Century Gothic" w:hAnsi="Century Gothic" w:cs="Times New Roman"/>
          <w:color w:val="000000"/>
        </w:rPr>
        <w:t>(as amended). The rates in the dollar</w:t>
      </w:r>
      <w:r w:rsidR="00B823FF">
        <w:rPr>
          <w:rFonts w:ascii="Century Gothic" w:hAnsi="Century Gothic" w:cs="Times New Roman"/>
          <w:color w:val="000000"/>
        </w:rPr>
        <w:t xml:space="preserve"> (RID)</w:t>
      </w:r>
      <w:r w:rsidRPr="009C68C6">
        <w:rPr>
          <w:rFonts w:ascii="Century Gothic" w:hAnsi="Century Gothic" w:cs="Times New Roman"/>
          <w:color w:val="000000"/>
        </w:rPr>
        <w:t xml:space="preserve"> will be based on the general valuations as supplied by the Valuer General in resp</w:t>
      </w:r>
      <w:r w:rsidR="00123E9D">
        <w:rPr>
          <w:rFonts w:ascii="Century Gothic" w:hAnsi="Century Gothic" w:cs="Times New Roman"/>
          <w:color w:val="000000"/>
        </w:rPr>
        <w:t>ect to Gross Rental Values (GRV</w:t>
      </w:r>
      <w:r w:rsidRPr="009C68C6">
        <w:rPr>
          <w:rFonts w:ascii="Century Gothic" w:hAnsi="Century Gothic" w:cs="Times New Roman"/>
          <w:color w:val="000000"/>
        </w:rPr>
        <w:t>) and Unimproved Values</w:t>
      </w:r>
      <w:r w:rsidR="00B823FF">
        <w:rPr>
          <w:rFonts w:ascii="Century Gothic" w:hAnsi="Century Gothic" w:cs="Times New Roman"/>
          <w:color w:val="000000"/>
        </w:rPr>
        <w:t xml:space="preserve"> (UV) effective from 1 July 20</w:t>
      </w:r>
      <w:r w:rsidR="00D70406">
        <w:rPr>
          <w:rFonts w:ascii="Century Gothic" w:hAnsi="Century Gothic" w:cs="Times New Roman"/>
          <w:color w:val="000000"/>
        </w:rPr>
        <w:t>2</w:t>
      </w:r>
      <w:r w:rsidR="00277940">
        <w:rPr>
          <w:rFonts w:ascii="Century Gothic" w:hAnsi="Century Gothic" w:cs="Times New Roman"/>
          <w:color w:val="000000"/>
        </w:rPr>
        <w:t>2</w:t>
      </w:r>
      <w:r w:rsidRPr="009C68C6">
        <w:rPr>
          <w:rFonts w:ascii="Century Gothic" w:hAnsi="Century Gothic" w:cs="Times New Roman"/>
          <w:color w:val="000000"/>
        </w:rPr>
        <w:t xml:space="preserve"> and as amended by interim valuations received after this date. </w:t>
      </w:r>
    </w:p>
    <w:p w14:paraId="5D680561" w14:textId="77777777" w:rsidR="00076538" w:rsidRPr="009C68C6" w:rsidRDefault="00076538" w:rsidP="00076538">
      <w:pPr>
        <w:autoSpaceDE w:val="0"/>
        <w:autoSpaceDN w:val="0"/>
        <w:adjustRightInd w:val="0"/>
        <w:spacing w:after="0" w:line="240" w:lineRule="auto"/>
        <w:rPr>
          <w:rFonts w:ascii="Century Gothic" w:hAnsi="Century Gothic" w:cs="Times New Roman"/>
          <w:b/>
          <w:bCs/>
          <w:color w:val="000000"/>
          <w:sz w:val="26"/>
          <w:szCs w:val="26"/>
        </w:rPr>
      </w:pPr>
    </w:p>
    <w:p w14:paraId="7AA34AC7" w14:textId="77777777" w:rsidR="00076538" w:rsidRPr="00131972" w:rsidRDefault="00076538" w:rsidP="00277940">
      <w:pPr>
        <w:autoSpaceDE w:val="0"/>
        <w:autoSpaceDN w:val="0"/>
        <w:adjustRightInd w:val="0"/>
        <w:spacing w:after="0" w:line="240" w:lineRule="auto"/>
        <w:ind w:left="426"/>
        <w:rPr>
          <w:rFonts w:ascii="Century Gothic" w:hAnsi="Century Gothic" w:cs="Times New Roman"/>
          <w:b/>
          <w:i/>
          <w:iCs/>
          <w:color w:val="365F91" w:themeColor="accent1" w:themeShade="BF"/>
          <w:sz w:val="24"/>
          <w:szCs w:val="24"/>
        </w:rPr>
      </w:pPr>
      <w:r w:rsidRPr="00131972">
        <w:rPr>
          <w:rFonts w:ascii="Century Gothic" w:hAnsi="Century Gothic" w:cs="Times New Roman"/>
          <w:b/>
          <w:bCs/>
          <w:i/>
          <w:iCs/>
          <w:color w:val="365F91" w:themeColor="accent1" w:themeShade="BF"/>
          <w:sz w:val="24"/>
          <w:szCs w:val="24"/>
        </w:rPr>
        <w:t xml:space="preserve">Gross Rental Valuations (GRV) </w:t>
      </w:r>
    </w:p>
    <w:p w14:paraId="61AE8985" w14:textId="2D18DC59" w:rsidR="00687DBC" w:rsidRPr="009C68C6" w:rsidRDefault="00076538" w:rsidP="00277940">
      <w:pPr>
        <w:spacing w:after="0"/>
        <w:ind w:left="426"/>
        <w:jc w:val="both"/>
        <w:rPr>
          <w:rFonts w:ascii="Century Gothic" w:hAnsi="Century Gothic" w:cs="Times New Roman"/>
          <w:color w:val="000000"/>
        </w:rPr>
      </w:pPr>
      <w:r w:rsidRPr="009C68C6">
        <w:rPr>
          <w:rFonts w:ascii="Century Gothic" w:hAnsi="Century Gothic" w:cs="Times New Roman"/>
          <w:color w:val="000000"/>
        </w:rPr>
        <w:t xml:space="preserve">GRV properties are reviewed every 5 years as per the Valuation of Land </w:t>
      </w:r>
      <w:r w:rsidR="00687DBC" w:rsidRPr="009C68C6">
        <w:rPr>
          <w:rFonts w:ascii="Century Gothic" w:hAnsi="Century Gothic" w:cs="Times New Roman"/>
          <w:color w:val="000000"/>
        </w:rPr>
        <w:t xml:space="preserve">Act </w:t>
      </w:r>
      <w:r w:rsidR="00EB4A74">
        <w:rPr>
          <w:rFonts w:ascii="Century Gothic" w:hAnsi="Century Gothic" w:cs="Times New Roman"/>
          <w:color w:val="000000"/>
        </w:rPr>
        <w:t>1978 (as amended), with the latest</w:t>
      </w:r>
      <w:r w:rsidR="00687DBC" w:rsidRPr="009C68C6">
        <w:rPr>
          <w:rFonts w:ascii="Century Gothic" w:hAnsi="Century Gothic" w:cs="Times New Roman"/>
          <w:color w:val="000000"/>
        </w:rPr>
        <w:t xml:space="preserve"> </w:t>
      </w:r>
      <w:r w:rsidR="00793B25" w:rsidRPr="009C68C6">
        <w:rPr>
          <w:rFonts w:ascii="Century Gothic" w:hAnsi="Century Gothic" w:cs="Times New Roman"/>
          <w:color w:val="000000"/>
        </w:rPr>
        <w:t xml:space="preserve">review </w:t>
      </w:r>
      <w:r w:rsidR="00793B25">
        <w:rPr>
          <w:rFonts w:ascii="Century Gothic" w:hAnsi="Century Gothic" w:cs="Times New Roman"/>
          <w:color w:val="000000"/>
        </w:rPr>
        <w:t>being</w:t>
      </w:r>
      <w:r w:rsidR="00EB4A74">
        <w:rPr>
          <w:rFonts w:ascii="Century Gothic" w:hAnsi="Century Gothic" w:cs="Times New Roman"/>
          <w:color w:val="000000"/>
        </w:rPr>
        <w:t xml:space="preserve"> </w:t>
      </w:r>
      <w:r w:rsidR="00687DBC" w:rsidRPr="009C68C6">
        <w:rPr>
          <w:rFonts w:ascii="Century Gothic" w:hAnsi="Century Gothic" w:cs="Times New Roman"/>
          <w:color w:val="000000"/>
        </w:rPr>
        <w:t>effective</w:t>
      </w:r>
      <w:r w:rsidR="008D05C2">
        <w:rPr>
          <w:rFonts w:ascii="Century Gothic" w:hAnsi="Century Gothic" w:cs="Times New Roman"/>
          <w:color w:val="000000"/>
        </w:rPr>
        <w:t xml:space="preserve"> </w:t>
      </w:r>
      <w:r w:rsidR="00687DBC" w:rsidRPr="009C68C6">
        <w:rPr>
          <w:rFonts w:ascii="Century Gothic" w:hAnsi="Century Gothic" w:cs="Times New Roman"/>
          <w:color w:val="000000"/>
        </w:rPr>
        <w:t>1 July 201</w:t>
      </w:r>
      <w:r w:rsidR="008D05C2">
        <w:rPr>
          <w:rFonts w:ascii="Century Gothic" w:hAnsi="Century Gothic" w:cs="Times New Roman"/>
          <w:color w:val="000000"/>
        </w:rPr>
        <w:t>8</w:t>
      </w:r>
      <w:r w:rsidR="00687DBC" w:rsidRPr="009C68C6">
        <w:rPr>
          <w:rFonts w:ascii="Century Gothic" w:hAnsi="Century Gothic" w:cs="Times New Roman"/>
          <w:color w:val="000000"/>
        </w:rPr>
        <w:t>.</w:t>
      </w:r>
    </w:p>
    <w:p w14:paraId="7FDEAD4C" w14:textId="77777777" w:rsidR="00F933EF" w:rsidRPr="009C68C6" w:rsidRDefault="00F933EF" w:rsidP="00277940">
      <w:pPr>
        <w:spacing w:after="0"/>
        <w:ind w:left="426"/>
        <w:jc w:val="center"/>
        <w:rPr>
          <w:rFonts w:ascii="Century Gothic" w:hAnsi="Century Gothic"/>
          <w:sz w:val="24"/>
          <w:szCs w:val="24"/>
        </w:rPr>
      </w:pPr>
    </w:p>
    <w:p w14:paraId="1CAB31BA" w14:textId="77777777" w:rsidR="00076538" w:rsidRPr="00131972" w:rsidRDefault="00076538" w:rsidP="00277940">
      <w:pPr>
        <w:autoSpaceDE w:val="0"/>
        <w:autoSpaceDN w:val="0"/>
        <w:adjustRightInd w:val="0"/>
        <w:spacing w:after="0" w:line="240" w:lineRule="auto"/>
        <w:ind w:left="426"/>
        <w:rPr>
          <w:rFonts w:ascii="Century Gothic" w:hAnsi="Century Gothic" w:cs="Times New Roman"/>
          <w:b/>
          <w:i/>
          <w:iCs/>
          <w:color w:val="365F91" w:themeColor="accent1" w:themeShade="BF"/>
          <w:sz w:val="24"/>
          <w:szCs w:val="24"/>
        </w:rPr>
      </w:pPr>
      <w:r w:rsidRPr="00131972">
        <w:rPr>
          <w:rFonts w:ascii="Century Gothic" w:hAnsi="Century Gothic" w:cs="Times New Roman"/>
          <w:b/>
          <w:bCs/>
          <w:i/>
          <w:iCs/>
          <w:color w:val="365F91" w:themeColor="accent1" w:themeShade="BF"/>
          <w:sz w:val="24"/>
          <w:szCs w:val="24"/>
        </w:rPr>
        <w:t xml:space="preserve">Unimproved (UV) </w:t>
      </w:r>
    </w:p>
    <w:p w14:paraId="72AA843C" w14:textId="77777777" w:rsidR="00F933EF" w:rsidRPr="009C68C6" w:rsidRDefault="00076538" w:rsidP="00277940">
      <w:pPr>
        <w:spacing w:after="0"/>
        <w:ind w:left="426"/>
        <w:rPr>
          <w:rFonts w:ascii="Century Gothic" w:hAnsi="Century Gothic"/>
          <w:sz w:val="24"/>
          <w:szCs w:val="24"/>
        </w:rPr>
      </w:pPr>
      <w:r w:rsidRPr="009C68C6">
        <w:rPr>
          <w:rFonts w:ascii="Century Gothic" w:hAnsi="Century Gothic" w:cs="Times New Roman"/>
          <w:color w:val="000000"/>
        </w:rPr>
        <w:t>UV properties are reviewed on an annual basis, effective 1 July each year.</w:t>
      </w:r>
    </w:p>
    <w:p w14:paraId="35628A04" w14:textId="77777777" w:rsidR="00EB4A74" w:rsidRDefault="00EB4A74" w:rsidP="00F933EF">
      <w:pPr>
        <w:spacing w:after="0"/>
        <w:jc w:val="center"/>
        <w:rPr>
          <w:sz w:val="24"/>
          <w:szCs w:val="24"/>
        </w:rPr>
      </w:pPr>
    </w:p>
    <w:p w14:paraId="1DEE31EC" w14:textId="5A7C721C" w:rsidR="00F933EF" w:rsidRDefault="00F933EF" w:rsidP="00F933EF">
      <w:pPr>
        <w:spacing w:after="0"/>
        <w:jc w:val="center"/>
        <w:rPr>
          <w:sz w:val="24"/>
          <w:szCs w:val="24"/>
        </w:rPr>
      </w:pPr>
    </w:p>
    <w:p w14:paraId="73328033" w14:textId="77777777" w:rsidR="00277940" w:rsidRDefault="00277940" w:rsidP="00F933EF">
      <w:pPr>
        <w:spacing w:after="0"/>
        <w:jc w:val="center"/>
        <w:rPr>
          <w:sz w:val="24"/>
          <w:szCs w:val="24"/>
        </w:rPr>
      </w:pPr>
    </w:p>
    <w:p w14:paraId="6187F87A" w14:textId="5D7B045D" w:rsidR="00076538" w:rsidRPr="00515030" w:rsidRDefault="00076538" w:rsidP="00076538">
      <w:pPr>
        <w:pStyle w:val="Default"/>
        <w:jc w:val="center"/>
        <w:rPr>
          <w:rFonts w:ascii="Century Gothic" w:hAnsi="Century Gothic"/>
          <w:color w:val="365F91" w:themeColor="accent1" w:themeShade="BF"/>
          <w:sz w:val="28"/>
          <w:szCs w:val="28"/>
        </w:rPr>
      </w:pPr>
      <w:r w:rsidRPr="00515030">
        <w:rPr>
          <w:rFonts w:ascii="Century Gothic" w:hAnsi="Century Gothic"/>
          <w:b/>
          <w:bCs/>
          <w:color w:val="365F91" w:themeColor="accent1" w:themeShade="BF"/>
          <w:sz w:val="28"/>
          <w:szCs w:val="28"/>
        </w:rPr>
        <w:lastRenderedPageBreak/>
        <w:t>OBJECT</w:t>
      </w:r>
      <w:r w:rsidR="0060256F">
        <w:rPr>
          <w:rFonts w:ascii="Century Gothic" w:hAnsi="Century Gothic"/>
          <w:b/>
          <w:bCs/>
          <w:color w:val="365F91" w:themeColor="accent1" w:themeShade="BF"/>
          <w:sz w:val="28"/>
          <w:szCs w:val="28"/>
        </w:rPr>
        <w:t>IVE</w:t>
      </w:r>
      <w:r w:rsidRPr="00515030">
        <w:rPr>
          <w:rFonts w:ascii="Century Gothic" w:hAnsi="Century Gothic"/>
          <w:b/>
          <w:bCs/>
          <w:color w:val="365F91" w:themeColor="accent1" w:themeShade="BF"/>
          <w:sz w:val="28"/>
          <w:szCs w:val="28"/>
        </w:rPr>
        <w:t>S OF AND REASONS FOR PROPOSED</w:t>
      </w:r>
    </w:p>
    <w:p w14:paraId="38543B22" w14:textId="77777777" w:rsidR="00076538" w:rsidRPr="00515030" w:rsidRDefault="00076538" w:rsidP="00076538">
      <w:pPr>
        <w:pStyle w:val="Default"/>
        <w:jc w:val="center"/>
        <w:rPr>
          <w:rFonts w:ascii="Century Gothic" w:hAnsi="Century Gothic"/>
          <w:color w:val="365F91" w:themeColor="accent1" w:themeShade="BF"/>
          <w:sz w:val="28"/>
          <w:szCs w:val="28"/>
        </w:rPr>
      </w:pPr>
      <w:r w:rsidRPr="00515030">
        <w:rPr>
          <w:rFonts w:ascii="Century Gothic" w:hAnsi="Century Gothic"/>
          <w:b/>
          <w:bCs/>
          <w:color w:val="365F91" w:themeColor="accent1" w:themeShade="BF"/>
          <w:sz w:val="28"/>
          <w:szCs w:val="28"/>
        </w:rPr>
        <w:t>DIFFERENTIAL RATES</w:t>
      </w:r>
    </w:p>
    <w:p w14:paraId="126D66E3" w14:textId="5D015A65" w:rsidR="00076538" w:rsidRPr="00515030" w:rsidRDefault="00076538" w:rsidP="00076538">
      <w:pPr>
        <w:spacing w:after="0"/>
        <w:jc w:val="center"/>
        <w:rPr>
          <w:rFonts w:ascii="Century Gothic" w:hAnsi="Century Gothic"/>
          <w:color w:val="365F91" w:themeColor="accent1" w:themeShade="BF"/>
          <w:sz w:val="24"/>
          <w:szCs w:val="24"/>
        </w:rPr>
      </w:pPr>
      <w:r w:rsidRPr="00515030">
        <w:rPr>
          <w:rFonts w:ascii="Century Gothic" w:hAnsi="Century Gothic"/>
          <w:b/>
          <w:bCs/>
          <w:color w:val="365F91" w:themeColor="accent1" w:themeShade="BF"/>
        </w:rPr>
        <w:t>For the year ending 30 June 20</w:t>
      </w:r>
      <w:r w:rsidR="008A2219">
        <w:rPr>
          <w:rFonts w:ascii="Century Gothic" w:hAnsi="Century Gothic"/>
          <w:b/>
          <w:bCs/>
          <w:color w:val="365F91" w:themeColor="accent1" w:themeShade="BF"/>
        </w:rPr>
        <w:t>2</w:t>
      </w:r>
      <w:r w:rsidR="00AA36EF">
        <w:rPr>
          <w:rFonts w:ascii="Century Gothic" w:hAnsi="Century Gothic"/>
          <w:b/>
          <w:bCs/>
          <w:color w:val="365F91" w:themeColor="accent1" w:themeShade="BF"/>
        </w:rPr>
        <w:t>3</w:t>
      </w:r>
    </w:p>
    <w:p w14:paraId="0A10DCA6" w14:textId="77777777" w:rsidR="00076538" w:rsidRPr="00515030" w:rsidRDefault="00076538" w:rsidP="00F933EF">
      <w:pPr>
        <w:spacing w:after="0"/>
        <w:jc w:val="center"/>
        <w:rPr>
          <w:rFonts w:ascii="Century Gothic" w:hAnsi="Century Gothic"/>
          <w:sz w:val="24"/>
          <w:szCs w:val="24"/>
        </w:rPr>
      </w:pPr>
    </w:p>
    <w:p w14:paraId="43ED7909" w14:textId="77777777" w:rsidR="00076538" w:rsidRPr="00515030" w:rsidRDefault="00076538" w:rsidP="00076538">
      <w:pPr>
        <w:autoSpaceDE w:val="0"/>
        <w:autoSpaceDN w:val="0"/>
        <w:adjustRightInd w:val="0"/>
        <w:spacing w:after="0" w:line="240" w:lineRule="auto"/>
        <w:rPr>
          <w:rFonts w:ascii="Century Gothic" w:hAnsi="Century Gothic" w:cs="Times New Roman"/>
          <w:color w:val="365F91" w:themeColor="accent1" w:themeShade="BF"/>
          <w:sz w:val="28"/>
          <w:szCs w:val="28"/>
        </w:rPr>
      </w:pPr>
      <w:r w:rsidRPr="00515030">
        <w:rPr>
          <w:rFonts w:ascii="Century Gothic" w:hAnsi="Century Gothic" w:cs="Times New Roman"/>
          <w:b/>
          <w:bCs/>
          <w:color w:val="365F91" w:themeColor="accent1" w:themeShade="BF"/>
          <w:sz w:val="28"/>
          <w:szCs w:val="28"/>
        </w:rPr>
        <w:t xml:space="preserve">Objections to Valuations </w:t>
      </w:r>
    </w:p>
    <w:p w14:paraId="084938F9" w14:textId="77777777" w:rsidR="00076538" w:rsidRPr="00515030" w:rsidRDefault="00076538" w:rsidP="00687DBC">
      <w:pPr>
        <w:autoSpaceDE w:val="0"/>
        <w:autoSpaceDN w:val="0"/>
        <w:adjustRightInd w:val="0"/>
        <w:spacing w:after="0" w:line="240" w:lineRule="auto"/>
        <w:jc w:val="both"/>
        <w:rPr>
          <w:rFonts w:ascii="Century Gothic" w:hAnsi="Century Gothic" w:cs="Times New Roman"/>
          <w:color w:val="000000"/>
        </w:rPr>
      </w:pPr>
      <w:r w:rsidRPr="00515030">
        <w:rPr>
          <w:rFonts w:ascii="Century Gothic" w:hAnsi="Century Gothic" w:cs="Times New Roman"/>
          <w:color w:val="000000"/>
        </w:rPr>
        <w:t xml:space="preserve">There are provisions for ratepayers to lodge an objection to valuations within 60 days of the issue of the rate notice. Any objection to a valuation should be on the grounds that the valuation is unjust or incorrect and not simply based on the quantum of rates payable. </w:t>
      </w:r>
    </w:p>
    <w:p w14:paraId="7C1B4EBE" w14:textId="77777777" w:rsidR="00076538" w:rsidRPr="00515030" w:rsidRDefault="00076538" w:rsidP="00687DBC">
      <w:pPr>
        <w:spacing w:after="0"/>
        <w:jc w:val="both"/>
        <w:rPr>
          <w:rFonts w:ascii="Century Gothic" w:hAnsi="Century Gothic" w:cs="Times New Roman"/>
          <w:color w:val="000000"/>
        </w:rPr>
      </w:pPr>
    </w:p>
    <w:p w14:paraId="6C1761EB" w14:textId="102A5AED" w:rsidR="00076538" w:rsidRPr="00515030" w:rsidRDefault="00076538" w:rsidP="00687DBC">
      <w:pPr>
        <w:spacing w:after="0"/>
        <w:jc w:val="both"/>
        <w:rPr>
          <w:rFonts w:ascii="Century Gothic" w:hAnsi="Century Gothic" w:cs="Times New Roman"/>
          <w:color w:val="000000"/>
        </w:rPr>
      </w:pPr>
      <w:r w:rsidRPr="00515030">
        <w:rPr>
          <w:rFonts w:ascii="Century Gothic" w:hAnsi="Century Gothic" w:cs="Times New Roman"/>
          <w:color w:val="000000"/>
        </w:rPr>
        <w:t>Further information and brochures on objection procedures are available from Landgate by visiting their</w:t>
      </w:r>
      <w:r w:rsidR="00B823FF">
        <w:rPr>
          <w:rFonts w:ascii="Century Gothic" w:hAnsi="Century Gothic" w:cs="Times New Roman"/>
          <w:color w:val="000000"/>
        </w:rPr>
        <w:t xml:space="preserve"> </w:t>
      </w:r>
      <w:r w:rsidRPr="00515030">
        <w:rPr>
          <w:rFonts w:ascii="Century Gothic" w:hAnsi="Century Gothic" w:cs="Times New Roman"/>
          <w:color w:val="000000"/>
        </w:rPr>
        <w:t>website at www.landgate.wa.gov.au. Ratepayers are also encouraged to contact the Shire Office to discuss their valuation concerns prior to lodging any formal objection.</w:t>
      </w:r>
    </w:p>
    <w:p w14:paraId="58145B52" w14:textId="77777777" w:rsidR="00076538" w:rsidRPr="00515030" w:rsidRDefault="00076538" w:rsidP="00076538">
      <w:pPr>
        <w:spacing w:after="0"/>
        <w:rPr>
          <w:rFonts w:ascii="Century Gothic" w:hAnsi="Century Gothic" w:cs="Times New Roman"/>
          <w:color w:val="000000"/>
        </w:rPr>
      </w:pPr>
    </w:p>
    <w:p w14:paraId="200048CF" w14:textId="77777777" w:rsidR="00076538" w:rsidRPr="00515030" w:rsidRDefault="00076538" w:rsidP="00076538">
      <w:pPr>
        <w:autoSpaceDE w:val="0"/>
        <w:autoSpaceDN w:val="0"/>
        <w:adjustRightInd w:val="0"/>
        <w:spacing w:after="0" w:line="240" w:lineRule="auto"/>
        <w:rPr>
          <w:rFonts w:ascii="Century Gothic" w:hAnsi="Century Gothic" w:cs="Times New Roman"/>
          <w:color w:val="365F91" w:themeColor="accent1" w:themeShade="BF"/>
          <w:sz w:val="28"/>
          <w:szCs w:val="28"/>
        </w:rPr>
      </w:pPr>
      <w:r w:rsidRPr="00515030">
        <w:rPr>
          <w:rFonts w:ascii="Century Gothic" w:hAnsi="Century Gothic" w:cs="Times New Roman"/>
          <w:b/>
          <w:bCs/>
          <w:color w:val="365F91" w:themeColor="accent1" w:themeShade="BF"/>
          <w:sz w:val="28"/>
          <w:szCs w:val="28"/>
        </w:rPr>
        <w:t xml:space="preserve">Rating Yield Objective </w:t>
      </w:r>
    </w:p>
    <w:p w14:paraId="45F5F5E1" w14:textId="77777777" w:rsidR="00076538" w:rsidRPr="00515030" w:rsidRDefault="00076538" w:rsidP="00076538">
      <w:pPr>
        <w:autoSpaceDE w:val="0"/>
        <w:autoSpaceDN w:val="0"/>
        <w:adjustRightInd w:val="0"/>
        <w:spacing w:after="0" w:line="240" w:lineRule="auto"/>
        <w:rPr>
          <w:rFonts w:ascii="Century Gothic" w:hAnsi="Century Gothic" w:cs="Times New Roman"/>
          <w:color w:val="000000"/>
        </w:rPr>
      </w:pPr>
      <w:r w:rsidRPr="00515030">
        <w:rPr>
          <w:rFonts w:ascii="Century Gothic" w:hAnsi="Century Gothic" w:cs="Times New Roman"/>
          <w:color w:val="000000"/>
        </w:rPr>
        <w:t xml:space="preserve">In setting the rate in the dollar for each category, Council has taken into consideration the following factors: </w:t>
      </w:r>
    </w:p>
    <w:p w14:paraId="07E699ED" w14:textId="77777777" w:rsidR="00076538" w:rsidRPr="00515030" w:rsidRDefault="00076538" w:rsidP="00076538">
      <w:pPr>
        <w:autoSpaceDE w:val="0"/>
        <w:autoSpaceDN w:val="0"/>
        <w:adjustRightInd w:val="0"/>
        <w:spacing w:after="0" w:line="240" w:lineRule="auto"/>
        <w:rPr>
          <w:rFonts w:ascii="Century Gothic" w:hAnsi="Century Gothic" w:cs="Times New Roman"/>
          <w:b/>
          <w:bCs/>
          <w:color w:val="000000"/>
          <w:sz w:val="26"/>
          <w:szCs w:val="26"/>
        </w:rPr>
      </w:pPr>
    </w:p>
    <w:p w14:paraId="34ABBCC4" w14:textId="77777777" w:rsidR="00076538" w:rsidRPr="00131972" w:rsidRDefault="00076538" w:rsidP="00687DBC">
      <w:pPr>
        <w:autoSpaceDE w:val="0"/>
        <w:autoSpaceDN w:val="0"/>
        <w:adjustRightInd w:val="0"/>
        <w:spacing w:after="0" w:line="240" w:lineRule="auto"/>
        <w:ind w:left="426"/>
        <w:jc w:val="both"/>
        <w:rPr>
          <w:rFonts w:ascii="Century Gothic" w:hAnsi="Century Gothic" w:cs="Times New Roman"/>
          <w:i/>
          <w:iCs/>
          <w:color w:val="365F91" w:themeColor="accent1" w:themeShade="BF"/>
          <w:sz w:val="24"/>
          <w:szCs w:val="24"/>
        </w:rPr>
      </w:pPr>
      <w:r w:rsidRPr="00131972">
        <w:rPr>
          <w:rFonts w:ascii="Century Gothic" w:hAnsi="Century Gothic" w:cs="Times New Roman"/>
          <w:b/>
          <w:bCs/>
          <w:i/>
          <w:iCs/>
          <w:color w:val="365F91" w:themeColor="accent1" w:themeShade="BF"/>
          <w:sz w:val="24"/>
          <w:szCs w:val="24"/>
        </w:rPr>
        <w:t xml:space="preserve">Main Source of Revenue </w:t>
      </w:r>
    </w:p>
    <w:p w14:paraId="3B75705D" w14:textId="77777777" w:rsidR="00076538" w:rsidRPr="00515030" w:rsidRDefault="00076538" w:rsidP="00687DBC">
      <w:pPr>
        <w:autoSpaceDE w:val="0"/>
        <w:autoSpaceDN w:val="0"/>
        <w:adjustRightInd w:val="0"/>
        <w:spacing w:after="0" w:line="240" w:lineRule="auto"/>
        <w:ind w:left="426"/>
        <w:jc w:val="both"/>
        <w:rPr>
          <w:rFonts w:ascii="Century Gothic" w:hAnsi="Century Gothic" w:cs="Times New Roman"/>
          <w:color w:val="000000"/>
        </w:rPr>
      </w:pPr>
      <w:r w:rsidRPr="00515030">
        <w:rPr>
          <w:rFonts w:ascii="Century Gothic" w:hAnsi="Century Gothic" w:cs="Times New Roman"/>
          <w:color w:val="000000"/>
        </w:rPr>
        <w:t xml:space="preserve">Rates are the main source of revenue for the Shire of Yilgarn. Given that Grants, Fees and Charges, Investment Earnings and Other Revenue sources are limited it is important the current level of rates revenue is maintained if Council is to continue service delivery and re-new its asset base. The Shire seeks to impose rates for each category in an equitable and principled manner. </w:t>
      </w:r>
    </w:p>
    <w:p w14:paraId="23646C5D" w14:textId="77777777" w:rsidR="00076538" w:rsidRPr="00515030" w:rsidRDefault="00076538" w:rsidP="00687DBC">
      <w:pPr>
        <w:autoSpaceDE w:val="0"/>
        <w:autoSpaceDN w:val="0"/>
        <w:adjustRightInd w:val="0"/>
        <w:spacing w:after="0" w:line="240" w:lineRule="auto"/>
        <w:ind w:left="426"/>
        <w:jc w:val="both"/>
        <w:rPr>
          <w:rFonts w:ascii="Century Gothic" w:hAnsi="Century Gothic" w:cs="Times New Roman"/>
          <w:b/>
          <w:bCs/>
          <w:color w:val="000000"/>
          <w:sz w:val="26"/>
          <w:szCs w:val="26"/>
        </w:rPr>
      </w:pPr>
    </w:p>
    <w:p w14:paraId="5E9DF7B0" w14:textId="77777777" w:rsidR="00076538" w:rsidRPr="00131972" w:rsidRDefault="00076538" w:rsidP="00687DBC">
      <w:pPr>
        <w:autoSpaceDE w:val="0"/>
        <w:autoSpaceDN w:val="0"/>
        <w:adjustRightInd w:val="0"/>
        <w:spacing w:after="0" w:line="240" w:lineRule="auto"/>
        <w:ind w:left="426"/>
        <w:jc w:val="both"/>
        <w:rPr>
          <w:rFonts w:ascii="Century Gothic" w:hAnsi="Century Gothic" w:cs="Times New Roman"/>
          <w:i/>
          <w:iCs/>
          <w:color w:val="365F91" w:themeColor="accent1" w:themeShade="BF"/>
          <w:sz w:val="24"/>
          <w:szCs w:val="24"/>
        </w:rPr>
      </w:pPr>
      <w:r w:rsidRPr="00131972">
        <w:rPr>
          <w:rFonts w:ascii="Century Gothic" w:hAnsi="Century Gothic" w:cs="Times New Roman"/>
          <w:b/>
          <w:bCs/>
          <w:i/>
          <w:iCs/>
          <w:color w:val="365F91" w:themeColor="accent1" w:themeShade="BF"/>
          <w:sz w:val="24"/>
          <w:szCs w:val="24"/>
        </w:rPr>
        <w:t xml:space="preserve">Asset Management </w:t>
      </w:r>
    </w:p>
    <w:p w14:paraId="6D33F4D9" w14:textId="66E590A6" w:rsidR="006D09CA" w:rsidRPr="00515030" w:rsidRDefault="00076538" w:rsidP="00687DBC">
      <w:pPr>
        <w:spacing w:after="0"/>
        <w:ind w:left="426"/>
        <w:jc w:val="both"/>
        <w:rPr>
          <w:rFonts w:ascii="Century Gothic" w:hAnsi="Century Gothic" w:cs="Times New Roman"/>
          <w:color w:val="000000"/>
        </w:rPr>
      </w:pPr>
      <w:r w:rsidRPr="00515030">
        <w:rPr>
          <w:rFonts w:ascii="Century Gothic" w:hAnsi="Century Gothic" w:cs="Times New Roman"/>
          <w:color w:val="000000"/>
        </w:rPr>
        <w:t>The Shire has</w:t>
      </w:r>
      <w:r w:rsidR="00C93BD7">
        <w:rPr>
          <w:rFonts w:ascii="Century Gothic" w:hAnsi="Century Gothic" w:cs="Times New Roman"/>
          <w:color w:val="000000"/>
        </w:rPr>
        <w:t>,</w:t>
      </w:r>
      <w:r w:rsidRPr="00515030">
        <w:rPr>
          <w:rFonts w:ascii="Century Gothic" w:hAnsi="Century Gothic" w:cs="Times New Roman"/>
          <w:color w:val="000000"/>
        </w:rPr>
        <w:t xml:space="preserve"> under its management</w:t>
      </w:r>
      <w:r w:rsidR="00C93BD7">
        <w:rPr>
          <w:rFonts w:ascii="Century Gothic" w:hAnsi="Century Gothic" w:cs="Times New Roman"/>
          <w:color w:val="000000"/>
        </w:rPr>
        <w:t>,</w:t>
      </w:r>
      <w:r w:rsidRPr="00515030">
        <w:rPr>
          <w:rFonts w:ascii="Century Gothic" w:hAnsi="Century Gothic" w:cs="Times New Roman"/>
          <w:color w:val="000000"/>
        </w:rPr>
        <w:t xml:space="preserve"> approximately </w:t>
      </w:r>
      <w:r w:rsidR="00131972">
        <w:rPr>
          <w:rFonts w:ascii="Century Gothic" w:hAnsi="Century Gothic" w:cs="Times New Roman"/>
          <w:color w:val="000000"/>
        </w:rPr>
        <w:t>301</w:t>
      </w:r>
      <w:r w:rsidRPr="00515030">
        <w:rPr>
          <w:rFonts w:ascii="Century Gothic" w:hAnsi="Century Gothic" w:cs="Times New Roman"/>
          <w:color w:val="000000"/>
        </w:rPr>
        <w:t xml:space="preserve"> kilometres of sealed roads and 2,</w:t>
      </w:r>
      <w:r w:rsidR="00131972">
        <w:rPr>
          <w:rFonts w:ascii="Century Gothic" w:hAnsi="Century Gothic" w:cs="Times New Roman"/>
          <w:color w:val="000000"/>
        </w:rPr>
        <w:t>481</w:t>
      </w:r>
      <w:r w:rsidRPr="00515030">
        <w:rPr>
          <w:rFonts w:ascii="Century Gothic" w:hAnsi="Century Gothic" w:cs="Times New Roman"/>
          <w:color w:val="000000"/>
        </w:rPr>
        <w:t xml:space="preserve"> kilometres of gravel roads. The Shire also owns numerous public buildings including; </w:t>
      </w:r>
      <w:r w:rsidR="009A6A82">
        <w:rPr>
          <w:rFonts w:ascii="Century Gothic" w:hAnsi="Century Gothic" w:cs="Times New Roman"/>
          <w:color w:val="000000"/>
        </w:rPr>
        <w:t>A</w:t>
      </w:r>
      <w:r w:rsidRPr="00515030">
        <w:rPr>
          <w:rFonts w:ascii="Century Gothic" w:hAnsi="Century Gothic" w:cs="Times New Roman"/>
          <w:color w:val="000000"/>
        </w:rPr>
        <w:t xml:space="preserve">dministration </w:t>
      </w:r>
      <w:r w:rsidR="009A6A82">
        <w:rPr>
          <w:rFonts w:ascii="Century Gothic" w:hAnsi="Century Gothic" w:cs="Times New Roman"/>
          <w:color w:val="000000"/>
        </w:rPr>
        <w:t>B</w:t>
      </w:r>
      <w:r w:rsidRPr="00515030">
        <w:rPr>
          <w:rFonts w:ascii="Century Gothic" w:hAnsi="Century Gothic" w:cs="Times New Roman"/>
          <w:color w:val="000000"/>
        </w:rPr>
        <w:t xml:space="preserve">uilding; </w:t>
      </w:r>
      <w:r w:rsidR="006D09CA" w:rsidRPr="00515030">
        <w:rPr>
          <w:rFonts w:ascii="Century Gothic" w:hAnsi="Century Gothic" w:cs="Times New Roman"/>
          <w:color w:val="000000"/>
        </w:rPr>
        <w:t>Senio</w:t>
      </w:r>
      <w:r w:rsidR="004B46AE">
        <w:rPr>
          <w:rFonts w:ascii="Century Gothic" w:hAnsi="Century Gothic" w:cs="Times New Roman"/>
          <w:color w:val="000000"/>
        </w:rPr>
        <w:t>r Citizens Centre; Town Halls</w:t>
      </w:r>
      <w:r w:rsidR="006D09CA" w:rsidRPr="00515030">
        <w:rPr>
          <w:rFonts w:ascii="Century Gothic" w:hAnsi="Century Gothic" w:cs="Times New Roman"/>
          <w:color w:val="000000"/>
        </w:rPr>
        <w:t xml:space="preserve">; Swimming Pool; Bowls/Tennis facility; Southern Cross Recreation Centre; </w:t>
      </w:r>
      <w:r w:rsidR="009A6A82">
        <w:rPr>
          <w:rFonts w:ascii="Century Gothic" w:hAnsi="Century Gothic" w:cs="Times New Roman"/>
          <w:color w:val="000000"/>
        </w:rPr>
        <w:t>C</w:t>
      </w:r>
      <w:r w:rsidR="006D09CA" w:rsidRPr="00515030">
        <w:rPr>
          <w:rFonts w:ascii="Century Gothic" w:hAnsi="Century Gothic" w:cs="Times New Roman"/>
          <w:color w:val="000000"/>
        </w:rPr>
        <w:t xml:space="preserve">hildcare </w:t>
      </w:r>
      <w:r w:rsidR="009A6A82">
        <w:rPr>
          <w:rFonts w:ascii="Century Gothic" w:hAnsi="Century Gothic" w:cs="Times New Roman"/>
          <w:color w:val="000000"/>
        </w:rPr>
        <w:t>F</w:t>
      </w:r>
      <w:r w:rsidR="006D09CA" w:rsidRPr="00515030">
        <w:rPr>
          <w:rFonts w:ascii="Century Gothic" w:hAnsi="Century Gothic" w:cs="Times New Roman"/>
          <w:color w:val="000000"/>
        </w:rPr>
        <w:t xml:space="preserve">acilities; </w:t>
      </w:r>
      <w:r w:rsidR="009A6A82">
        <w:rPr>
          <w:rFonts w:ascii="Century Gothic" w:hAnsi="Century Gothic" w:cs="Times New Roman"/>
          <w:color w:val="000000"/>
        </w:rPr>
        <w:t>P</w:t>
      </w:r>
      <w:r w:rsidR="006D09CA" w:rsidRPr="00515030">
        <w:rPr>
          <w:rFonts w:ascii="Century Gothic" w:hAnsi="Century Gothic" w:cs="Times New Roman"/>
          <w:color w:val="000000"/>
        </w:rPr>
        <w:t xml:space="preserve">ublic </w:t>
      </w:r>
      <w:r w:rsidR="009A6A82">
        <w:rPr>
          <w:rFonts w:ascii="Century Gothic" w:hAnsi="Century Gothic" w:cs="Times New Roman"/>
          <w:color w:val="000000"/>
        </w:rPr>
        <w:t>T</w:t>
      </w:r>
      <w:r w:rsidR="006D09CA" w:rsidRPr="00515030">
        <w:rPr>
          <w:rFonts w:ascii="Century Gothic" w:hAnsi="Century Gothic" w:cs="Times New Roman"/>
          <w:color w:val="000000"/>
        </w:rPr>
        <w:t>oilets; Shire Depot; Aged Housing; Staff Housing; Medical Centre; Museum;</w:t>
      </w:r>
      <w:r w:rsidR="00F6655D">
        <w:rPr>
          <w:rFonts w:ascii="Century Gothic" w:hAnsi="Century Gothic" w:cs="Times New Roman"/>
          <w:color w:val="000000"/>
        </w:rPr>
        <w:t xml:space="preserve"> Caravan Park</w:t>
      </w:r>
      <w:r w:rsidR="000A17A6">
        <w:rPr>
          <w:rFonts w:ascii="Century Gothic" w:hAnsi="Century Gothic" w:cs="Times New Roman"/>
          <w:color w:val="000000"/>
        </w:rPr>
        <w:t>, Community Resource Centre / Library</w:t>
      </w:r>
      <w:r w:rsidR="006D09CA" w:rsidRPr="00515030">
        <w:rPr>
          <w:rFonts w:ascii="Century Gothic" w:hAnsi="Century Gothic" w:cs="Times New Roman"/>
          <w:color w:val="000000"/>
        </w:rPr>
        <w:t xml:space="preserve"> and numerous sporting and community facilities.</w:t>
      </w:r>
      <w:r w:rsidRPr="00515030">
        <w:rPr>
          <w:rFonts w:ascii="Century Gothic" w:hAnsi="Century Gothic" w:cs="Times New Roman"/>
          <w:color w:val="000000"/>
        </w:rPr>
        <w:t xml:space="preserve"> </w:t>
      </w:r>
      <w:r w:rsidR="006D09CA" w:rsidRPr="00515030">
        <w:rPr>
          <w:rFonts w:ascii="Century Gothic" w:hAnsi="Century Gothic" w:cs="Times New Roman"/>
          <w:color w:val="000000"/>
        </w:rPr>
        <w:t>Many of these facilities require</w:t>
      </w:r>
      <w:r w:rsidRPr="00515030">
        <w:rPr>
          <w:rFonts w:ascii="Century Gothic" w:hAnsi="Century Gothic" w:cs="Times New Roman"/>
          <w:color w:val="000000"/>
        </w:rPr>
        <w:t xml:space="preserve"> substantial </w:t>
      </w:r>
      <w:r w:rsidR="00F6655D">
        <w:rPr>
          <w:rFonts w:ascii="Century Gothic" w:hAnsi="Century Gothic" w:cs="Times New Roman"/>
          <w:color w:val="000000"/>
        </w:rPr>
        <w:t>upkeep</w:t>
      </w:r>
      <w:r w:rsidR="006D09CA" w:rsidRPr="00515030">
        <w:rPr>
          <w:rFonts w:ascii="Century Gothic" w:hAnsi="Century Gothic" w:cs="Times New Roman"/>
          <w:color w:val="000000"/>
        </w:rPr>
        <w:t xml:space="preserve"> due to their age</w:t>
      </w:r>
      <w:r w:rsidRPr="00515030">
        <w:rPr>
          <w:rFonts w:ascii="Century Gothic" w:hAnsi="Century Gothic" w:cs="Times New Roman"/>
          <w:color w:val="000000"/>
        </w:rPr>
        <w:t>.</w:t>
      </w:r>
    </w:p>
    <w:p w14:paraId="7D4527D5" w14:textId="77777777" w:rsidR="00076538" w:rsidRPr="00515030" w:rsidRDefault="00076538" w:rsidP="00076538">
      <w:pPr>
        <w:spacing w:after="0"/>
        <w:rPr>
          <w:rFonts w:ascii="Century Gothic" w:hAnsi="Century Gothic"/>
          <w:sz w:val="24"/>
          <w:szCs w:val="24"/>
        </w:rPr>
      </w:pPr>
    </w:p>
    <w:p w14:paraId="61161215" w14:textId="37869261" w:rsidR="006D09CA" w:rsidRPr="00515030" w:rsidRDefault="009C68C6" w:rsidP="006D09CA">
      <w:pPr>
        <w:autoSpaceDE w:val="0"/>
        <w:autoSpaceDN w:val="0"/>
        <w:adjustRightInd w:val="0"/>
        <w:spacing w:after="0" w:line="240" w:lineRule="auto"/>
        <w:rPr>
          <w:rFonts w:ascii="Century Gothic" w:hAnsi="Century Gothic" w:cs="Times New Roman"/>
          <w:color w:val="365F91" w:themeColor="accent1" w:themeShade="BF"/>
          <w:sz w:val="28"/>
          <w:szCs w:val="28"/>
        </w:rPr>
      </w:pPr>
      <w:r w:rsidRPr="00515030">
        <w:rPr>
          <w:rFonts w:ascii="Century Gothic" w:hAnsi="Century Gothic" w:cs="Times New Roman"/>
          <w:b/>
          <w:bCs/>
          <w:color w:val="365F91" w:themeColor="accent1" w:themeShade="BF"/>
          <w:sz w:val="28"/>
          <w:szCs w:val="28"/>
        </w:rPr>
        <w:t>20</w:t>
      </w:r>
      <w:r w:rsidR="00D70406">
        <w:rPr>
          <w:rFonts w:ascii="Century Gothic" w:hAnsi="Century Gothic" w:cs="Times New Roman"/>
          <w:b/>
          <w:bCs/>
          <w:color w:val="365F91" w:themeColor="accent1" w:themeShade="BF"/>
          <w:sz w:val="28"/>
          <w:szCs w:val="28"/>
        </w:rPr>
        <w:t>2</w:t>
      </w:r>
      <w:r w:rsidR="00131972">
        <w:rPr>
          <w:rFonts w:ascii="Century Gothic" w:hAnsi="Century Gothic" w:cs="Times New Roman"/>
          <w:b/>
          <w:bCs/>
          <w:color w:val="365F91" w:themeColor="accent1" w:themeShade="BF"/>
          <w:sz w:val="28"/>
          <w:szCs w:val="28"/>
        </w:rPr>
        <w:t>2</w:t>
      </w:r>
      <w:r w:rsidRPr="00515030">
        <w:rPr>
          <w:rFonts w:ascii="Century Gothic" w:hAnsi="Century Gothic" w:cs="Times New Roman"/>
          <w:b/>
          <w:bCs/>
          <w:color w:val="365F91" w:themeColor="accent1" w:themeShade="BF"/>
          <w:sz w:val="28"/>
          <w:szCs w:val="28"/>
        </w:rPr>
        <w:t>/</w:t>
      </w:r>
      <w:r w:rsidR="008A2219">
        <w:rPr>
          <w:rFonts w:ascii="Century Gothic" w:hAnsi="Century Gothic" w:cs="Times New Roman"/>
          <w:b/>
          <w:bCs/>
          <w:color w:val="365F91" w:themeColor="accent1" w:themeShade="BF"/>
          <w:sz w:val="28"/>
          <w:szCs w:val="28"/>
        </w:rPr>
        <w:t>2</w:t>
      </w:r>
      <w:r w:rsidR="00131972">
        <w:rPr>
          <w:rFonts w:ascii="Century Gothic" w:hAnsi="Century Gothic" w:cs="Times New Roman"/>
          <w:b/>
          <w:bCs/>
          <w:color w:val="365F91" w:themeColor="accent1" w:themeShade="BF"/>
          <w:sz w:val="28"/>
          <w:szCs w:val="28"/>
        </w:rPr>
        <w:t>3</w:t>
      </w:r>
      <w:r w:rsidR="006D09CA" w:rsidRPr="00515030">
        <w:rPr>
          <w:rFonts w:ascii="Century Gothic" w:hAnsi="Century Gothic" w:cs="Times New Roman"/>
          <w:b/>
          <w:bCs/>
          <w:color w:val="365F91" w:themeColor="accent1" w:themeShade="BF"/>
          <w:sz w:val="28"/>
          <w:szCs w:val="28"/>
        </w:rPr>
        <w:t xml:space="preserve"> Budget Proposal </w:t>
      </w:r>
    </w:p>
    <w:p w14:paraId="26C0ABA3" w14:textId="465CB512" w:rsidR="006D09CA" w:rsidRPr="00515030" w:rsidRDefault="006D09CA" w:rsidP="006D09CA">
      <w:pPr>
        <w:autoSpaceDE w:val="0"/>
        <w:autoSpaceDN w:val="0"/>
        <w:adjustRightInd w:val="0"/>
        <w:spacing w:after="0" w:line="240" w:lineRule="auto"/>
        <w:rPr>
          <w:rFonts w:ascii="Century Gothic" w:hAnsi="Century Gothic" w:cs="Times New Roman"/>
          <w:color w:val="000000"/>
        </w:rPr>
      </w:pPr>
      <w:r w:rsidRPr="00515030">
        <w:rPr>
          <w:rFonts w:ascii="Century Gothic" w:hAnsi="Century Gothic" w:cs="Times New Roman"/>
          <w:color w:val="000000"/>
        </w:rPr>
        <w:t xml:space="preserve">The following are the proposed Differential General Rates and Minimum Payments for the Shire of Yilgarn for the </w:t>
      </w:r>
      <w:r w:rsidR="00131972">
        <w:rPr>
          <w:rFonts w:ascii="Century Gothic" w:hAnsi="Century Gothic" w:cs="Times New Roman"/>
          <w:color w:val="000000"/>
        </w:rPr>
        <w:t>2022/23</w:t>
      </w:r>
      <w:r w:rsidRPr="00515030">
        <w:rPr>
          <w:rFonts w:ascii="Century Gothic" w:hAnsi="Century Gothic" w:cs="Times New Roman"/>
          <w:color w:val="000000"/>
        </w:rPr>
        <w:t xml:space="preserve"> financial year, to be effective from 1 July 20</w:t>
      </w:r>
      <w:r w:rsidR="00D70406">
        <w:rPr>
          <w:rFonts w:ascii="Century Gothic" w:hAnsi="Century Gothic" w:cs="Times New Roman"/>
          <w:color w:val="000000"/>
        </w:rPr>
        <w:t>2</w:t>
      </w:r>
      <w:r w:rsidR="00131972">
        <w:rPr>
          <w:rFonts w:ascii="Century Gothic" w:hAnsi="Century Gothic" w:cs="Times New Roman"/>
          <w:color w:val="000000"/>
        </w:rPr>
        <w:t>2</w:t>
      </w:r>
      <w:r w:rsidRPr="00515030">
        <w:rPr>
          <w:rFonts w:ascii="Century Gothic" w:hAnsi="Century Gothic" w:cs="Times New Roman"/>
          <w:color w:val="000000"/>
        </w:rPr>
        <w:t xml:space="preserve">: </w:t>
      </w:r>
    </w:p>
    <w:p w14:paraId="4885574B" w14:textId="77777777" w:rsidR="006D09CA" w:rsidRPr="00515030" w:rsidRDefault="006D09CA" w:rsidP="006D09CA">
      <w:pPr>
        <w:autoSpaceDE w:val="0"/>
        <w:autoSpaceDN w:val="0"/>
        <w:adjustRightInd w:val="0"/>
        <w:spacing w:after="0" w:line="240" w:lineRule="auto"/>
        <w:rPr>
          <w:rFonts w:ascii="Century Gothic" w:hAnsi="Century Gothic" w:cs="Times New Roman"/>
          <w:b/>
          <w:bCs/>
          <w:color w:val="00000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1927"/>
        <w:gridCol w:w="1560"/>
      </w:tblGrid>
      <w:tr w:rsidR="0004524B" w:rsidRPr="0004524B" w14:paraId="00468671" w14:textId="77777777" w:rsidTr="008826DB">
        <w:trPr>
          <w:jc w:val="center"/>
        </w:trPr>
        <w:tc>
          <w:tcPr>
            <w:tcW w:w="3284" w:type="dxa"/>
          </w:tcPr>
          <w:p w14:paraId="3E72B23C" w14:textId="77777777" w:rsidR="008931B4" w:rsidRPr="0004524B" w:rsidRDefault="008931B4" w:rsidP="006D09CA">
            <w:pPr>
              <w:autoSpaceDE w:val="0"/>
              <w:autoSpaceDN w:val="0"/>
              <w:adjustRightInd w:val="0"/>
              <w:rPr>
                <w:rFonts w:ascii="Century Gothic" w:hAnsi="Century Gothic" w:cs="Times New Roman"/>
                <w:b/>
                <w:bCs/>
                <w:color w:val="365F91" w:themeColor="accent1" w:themeShade="BF"/>
              </w:rPr>
            </w:pPr>
            <w:r w:rsidRPr="0004524B">
              <w:rPr>
                <w:rFonts w:ascii="Century Gothic" w:hAnsi="Century Gothic" w:cs="Times New Roman"/>
                <w:b/>
                <w:bCs/>
                <w:color w:val="365F91" w:themeColor="accent1" w:themeShade="BF"/>
              </w:rPr>
              <w:t>Land Category</w:t>
            </w:r>
          </w:p>
        </w:tc>
        <w:tc>
          <w:tcPr>
            <w:tcW w:w="1927" w:type="dxa"/>
          </w:tcPr>
          <w:p w14:paraId="512C8768" w14:textId="759BEE08" w:rsidR="008931B4" w:rsidRPr="0004524B" w:rsidRDefault="008931B4" w:rsidP="00F6655D">
            <w:pPr>
              <w:autoSpaceDE w:val="0"/>
              <w:autoSpaceDN w:val="0"/>
              <w:adjustRightInd w:val="0"/>
              <w:jc w:val="right"/>
              <w:rPr>
                <w:rFonts w:ascii="Century Gothic" w:hAnsi="Century Gothic" w:cs="Times New Roman"/>
                <w:b/>
                <w:bCs/>
                <w:color w:val="365F91" w:themeColor="accent1" w:themeShade="BF"/>
              </w:rPr>
            </w:pPr>
            <w:r w:rsidRPr="0004524B">
              <w:rPr>
                <w:rFonts w:ascii="Century Gothic" w:hAnsi="Century Gothic" w:cs="Times New Roman"/>
                <w:b/>
                <w:bCs/>
                <w:color w:val="365F91" w:themeColor="accent1" w:themeShade="BF"/>
              </w:rPr>
              <w:t xml:space="preserve">Rate </w:t>
            </w:r>
            <w:r w:rsidR="00DE1EA2">
              <w:rPr>
                <w:rFonts w:ascii="Century Gothic" w:hAnsi="Century Gothic" w:cs="Times New Roman"/>
                <w:b/>
                <w:bCs/>
                <w:color w:val="365F91" w:themeColor="accent1" w:themeShade="BF"/>
              </w:rPr>
              <w:t xml:space="preserve">– Cents </w:t>
            </w:r>
            <w:r w:rsidRPr="0004524B">
              <w:rPr>
                <w:rFonts w:ascii="Century Gothic" w:hAnsi="Century Gothic" w:cs="Times New Roman"/>
                <w:b/>
                <w:bCs/>
                <w:color w:val="365F91" w:themeColor="accent1" w:themeShade="BF"/>
              </w:rPr>
              <w:t>in the Dollar</w:t>
            </w:r>
          </w:p>
        </w:tc>
        <w:tc>
          <w:tcPr>
            <w:tcW w:w="1560" w:type="dxa"/>
          </w:tcPr>
          <w:p w14:paraId="345371EE" w14:textId="2AF7EF37" w:rsidR="008931B4" w:rsidRPr="0004524B" w:rsidRDefault="008931B4" w:rsidP="00F6655D">
            <w:pPr>
              <w:autoSpaceDE w:val="0"/>
              <w:autoSpaceDN w:val="0"/>
              <w:adjustRightInd w:val="0"/>
              <w:jc w:val="right"/>
              <w:rPr>
                <w:rFonts w:ascii="Century Gothic" w:hAnsi="Century Gothic" w:cs="Times New Roman"/>
                <w:b/>
                <w:bCs/>
                <w:color w:val="365F91" w:themeColor="accent1" w:themeShade="BF"/>
              </w:rPr>
            </w:pPr>
            <w:r w:rsidRPr="0004524B">
              <w:rPr>
                <w:rFonts w:ascii="Century Gothic" w:hAnsi="Century Gothic" w:cs="Times New Roman"/>
                <w:b/>
                <w:bCs/>
                <w:color w:val="365F91" w:themeColor="accent1" w:themeShade="BF"/>
              </w:rPr>
              <w:t>Min</w:t>
            </w:r>
            <w:r w:rsidR="00011F8A">
              <w:rPr>
                <w:rFonts w:ascii="Century Gothic" w:hAnsi="Century Gothic" w:cs="Times New Roman"/>
                <w:b/>
                <w:bCs/>
                <w:color w:val="365F91" w:themeColor="accent1" w:themeShade="BF"/>
              </w:rPr>
              <w:t>imum</w:t>
            </w:r>
            <w:r w:rsidRPr="0004524B">
              <w:rPr>
                <w:rFonts w:ascii="Century Gothic" w:hAnsi="Century Gothic" w:cs="Times New Roman"/>
                <w:b/>
                <w:bCs/>
                <w:color w:val="365F91" w:themeColor="accent1" w:themeShade="BF"/>
              </w:rPr>
              <w:t xml:space="preserve"> Payment</w:t>
            </w:r>
          </w:p>
        </w:tc>
      </w:tr>
      <w:tr w:rsidR="008931B4" w:rsidRPr="00515030" w14:paraId="0794D43B" w14:textId="77777777" w:rsidTr="008826DB">
        <w:trPr>
          <w:jc w:val="center"/>
        </w:trPr>
        <w:tc>
          <w:tcPr>
            <w:tcW w:w="3284" w:type="dxa"/>
          </w:tcPr>
          <w:p w14:paraId="2CA03B66" w14:textId="77777777" w:rsidR="008931B4" w:rsidRPr="00515030" w:rsidRDefault="008931B4" w:rsidP="006D09CA">
            <w:pPr>
              <w:autoSpaceDE w:val="0"/>
              <w:autoSpaceDN w:val="0"/>
              <w:adjustRightInd w:val="0"/>
              <w:rPr>
                <w:rFonts w:ascii="Century Gothic" w:hAnsi="Century Gothic" w:cs="Times New Roman"/>
                <w:b/>
                <w:bCs/>
                <w:color w:val="000000"/>
              </w:rPr>
            </w:pPr>
            <w:r w:rsidRPr="00515030">
              <w:rPr>
                <w:rFonts w:ascii="Century Gothic" w:hAnsi="Century Gothic" w:cs="Times New Roman"/>
                <w:color w:val="000000"/>
              </w:rPr>
              <w:t>GRV Residential/Industrial</w:t>
            </w:r>
          </w:p>
        </w:tc>
        <w:tc>
          <w:tcPr>
            <w:tcW w:w="1927" w:type="dxa"/>
          </w:tcPr>
          <w:p w14:paraId="1A138130" w14:textId="467CB9D4" w:rsidR="008931B4" w:rsidRPr="00515030" w:rsidRDefault="00CC5D70" w:rsidP="008931B4">
            <w:pPr>
              <w:autoSpaceDE w:val="0"/>
              <w:autoSpaceDN w:val="0"/>
              <w:adjustRightInd w:val="0"/>
              <w:jc w:val="right"/>
              <w:rPr>
                <w:rFonts w:ascii="Century Gothic" w:hAnsi="Century Gothic" w:cs="Times New Roman"/>
                <w:b/>
                <w:bCs/>
                <w:color w:val="000000"/>
              </w:rPr>
            </w:pPr>
            <w:r>
              <w:rPr>
                <w:rFonts w:ascii="Century Gothic" w:hAnsi="Century Gothic" w:cs="Times New Roman"/>
                <w:color w:val="000000"/>
              </w:rPr>
              <w:t>11.</w:t>
            </w:r>
            <w:r w:rsidR="004123FD">
              <w:rPr>
                <w:rFonts w:ascii="Century Gothic" w:hAnsi="Century Gothic" w:cs="Times New Roman"/>
                <w:color w:val="000000"/>
              </w:rPr>
              <w:t>3458</w:t>
            </w:r>
          </w:p>
        </w:tc>
        <w:tc>
          <w:tcPr>
            <w:tcW w:w="1560" w:type="dxa"/>
          </w:tcPr>
          <w:p w14:paraId="794FDB16" w14:textId="77777777" w:rsidR="008931B4" w:rsidRPr="00515030" w:rsidRDefault="008931B4" w:rsidP="008931B4">
            <w:pPr>
              <w:autoSpaceDE w:val="0"/>
              <w:autoSpaceDN w:val="0"/>
              <w:adjustRightInd w:val="0"/>
              <w:jc w:val="right"/>
              <w:rPr>
                <w:rFonts w:ascii="Century Gothic" w:hAnsi="Century Gothic" w:cs="Times New Roman"/>
                <w:b/>
                <w:bCs/>
                <w:color w:val="000000"/>
              </w:rPr>
            </w:pPr>
            <w:r w:rsidRPr="00515030">
              <w:rPr>
                <w:rFonts w:ascii="Century Gothic" w:hAnsi="Century Gothic" w:cs="Times New Roman"/>
                <w:color w:val="000000"/>
              </w:rPr>
              <w:t>$500</w:t>
            </w:r>
          </w:p>
        </w:tc>
      </w:tr>
      <w:tr w:rsidR="008931B4" w:rsidRPr="00515030" w14:paraId="027C835A" w14:textId="77777777" w:rsidTr="008826DB">
        <w:trPr>
          <w:jc w:val="center"/>
        </w:trPr>
        <w:tc>
          <w:tcPr>
            <w:tcW w:w="3284" w:type="dxa"/>
          </w:tcPr>
          <w:p w14:paraId="739E8B03" w14:textId="77777777" w:rsidR="008931B4" w:rsidRPr="00515030" w:rsidRDefault="008931B4" w:rsidP="006D09CA">
            <w:pPr>
              <w:autoSpaceDE w:val="0"/>
              <w:autoSpaceDN w:val="0"/>
              <w:adjustRightInd w:val="0"/>
              <w:rPr>
                <w:rFonts w:ascii="Century Gothic" w:hAnsi="Century Gothic" w:cs="Times New Roman"/>
                <w:b/>
                <w:bCs/>
                <w:color w:val="000000"/>
              </w:rPr>
            </w:pPr>
            <w:r w:rsidRPr="00515030">
              <w:rPr>
                <w:rFonts w:ascii="Century Gothic" w:hAnsi="Century Gothic" w:cs="Times New Roman"/>
                <w:color w:val="000000"/>
              </w:rPr>
              <w:t>GRV Commercial</w:t>
            </w:r>
          </w:p>
        </w:tc>
        <w:tc>
          <w:tcPr>
            <w:tcW w:w="1927" w:type="dxa"/>
          </w:tcPr>
          <w:p w14:paraId="2447D90B" w14:textId="48C45BB2" w:rsidR="008931B4" w:rsidRPr="00515030" w:rsidRDefault="008931B4" w:rsidP="008931B4">
            <w:pPr>
              <w:autoSpaceDE w:val="0"/>
              <w:autoSpaceDN w:val="0"/>
              <w:adjustRightInd w:val="0"/>
              <w:jc w:val="right"/>
              <w:rPr>
                <w:rFonts w:ascii="Century Gothic" w:hAnsi="Century Gothic" w:cs="Times New Roman"/>
                <w:b/>
                <w:bCs/>
                <w:color w:val="000000"/>
              </w:rPr>
            </w:pPr>
            <w:r w:rsidRPr="00515030">
              <w:rPr>
                <w:rFonts w:ascii="Century Gothic" w:hAnsi="Century Gothic" w:cs="Times New Roman"/>
                <w:color w:val="000000"/>
              </w:rPr>
              <w:t>7.</w:t>
            </w:r>
            <w:r w:rsidR="0049744B">
              <w:rPr>
                <w:rFonts w:ascii="Century Gothic" w:hAnsi="Century Gothic" w:cs="Times New Roman"/>
                <w:color w:val="000000"/>
              </w:rPr>
              <w:t>9</w:t>
            </w:r>
            <w:r w:rsidR="004123FD">
              <w:rPr>
                <w:rFonts w:ascii="Century Gothic" w:hAnsi="Century Gothic" w:cs="Times New Roman"/>
                <w:color w:val="000000"/>
              </w:rPr>
              <w:t>866</w:t>
            </w:r>
          </w:p>
        </w:tc>
        <w:tc>
          <w:tcPr>
            <w:tcW w:w="1560" w:type="dxa"/>
          </w:tcPr>
          <w:p w14:paraId="735E44A6" w14:textId="77777777" w:rsidR="008931B4" w:rsidRPr="00515030" w:rsidRDefault="008931B4" w:rsidP="008931B4">
            <w:pPr>
              <w:autoSpaceDE w:val="0"/>
              <w:autoSpaceDN w:val="0"/>
              <w:adjustRightInd w:val="0"/>
              <w:jc w:val="right"/>
              <w:rPr>
                <w:rFonts w:ascii="Century Gothic" w:hAnsi="Century Gothic" w:cs="Times New Roman"/>
                <w:b/>
                <w:bCs/>
                <w:color w:val="000000"/>
              </w:rPr>
            </w:pPr>
            <w:r w:rsidRPr="00515030">
              <w:rPr>
                <w:rFonts w:ascii="Century Gothic" w:hAnsi="Century Gothic" w:cs="Times New Roman"/>
                <w:color w:val="000000"/>
              </w:rPr>
              <w:t>$400</w:t>
            </w:r>
          </w:p>
        </w:tc>
      </w:tr>
      <w:tr w:rsidR="008931B4" w:rsidRPr="00515030" w14:paraId="65372BFA" w14:textId="77777777" w:rsidTr="008826DB">
        <w:trPr>
          <w:jc w:val="center"/>
        </w:trPr>
        <w:tc>
          <w:tcPr>
            <w:tcW w:w="3284" w:type="dxa"/>
          </w:tcPr>
          <w:p w14:paraId="7DC7CEA9" w14:textId="77777777" w:rsidR="008931B4" w:rsidRPr="00515030" w:rsidRDefault="008931B4" w:rsidP="006D09CA">
            <w:pPr>
              <w:autoSpaceDE w:val="0"/>
              <w:autoSpaceDN w:val="0"/>
              <w:adjustRightInd w:val="0"/>
              <w:rPr>
                <w:rFonts w:ascii="Century Gothic" w:hAnsi="Century Gothic" w:cs="Times New Roman"/>
                <w:b/>
                <w:bCs/>
                <w:color w:val="000000"/>
              </w:rPr>
            </w:pPr>
            <w:r w:rsidRPr="00515030">
              <w:rPr>
                <w:rFonts w:ascii="Century Gothic" w:hAnsi="Century Gothic" w:cs="Times New Roman"/>
                <w:color w:val="000000"/>
              </w:rPr>
              <w:t>GRV Minesites</w:t>
            </w:r>
          </w:p>
        </w:tc>
        <w:tc>
          <w:tcPr>
            <w:tcW w:w="1927" w:type="dxa"/>
          </w:tcPr>
          <w:p w14:paraId="755027B9" w14:textId="5772CAA5" w:rsidR="008931B4" w:rsidRPr="00515030" w:rsidRDefault="008931B4" w:rsidP="008931B4">
            <w:pPr>
              <w:autoSpaceDE w:val="0"/>
              <w:autoSpaceDN w:val="0"/>
              <w:adjustRightInd w:val="0"/>
              <w:jc w:val="right"/>
              <w:rPr>
                <w:rFonts w:ascii="Century Gothic" w:hAnsi="Century Gothic" w:cs="Times New Roman"/>
                <w:b/>
                <w:bCs/>
                <w:color w:val="000000"/>
              </w:rPr>
            </w:pPr>
            <w:r w:rsidRPr="00515030">
              <w:rPr>
                <w:rFonts w:ascii="Century Gothic" w:hAnsi="Century Gothic" w:cs="Times New Roman"/>
                <w:color w:val="000000"/>
              </w:rPr>
              <w:t>15.</w:t>
            </w:r>
            <w:r w:rsidR="004123FD">
              <w:rPr>
                <w:rFonts w:ascii="Century Gothic" w:hAnsi="Century Gothic" w:cs="Times New Roman"/>
                <w:color w:val="000000"/>
              </w:rPr>
              <w:t>9734</w:t>
            </w:r>
          </w:p>
        </w:tc>
        <w:tc>
          <w:tcPr>
            <w:tcW w:w="1560" w:type="dxa"/>
          </w:tcPr>
          <w:p w14:paraId="1F10DE91" w14:textId="77777777" w:rsidR="008931B4" w:rsidRPr="00515030" w:rsidRDefault="008931B4" w:rsidP="008931B4">
            <w:pPr>
              <w:autoSpaceDE w:val="0"/>
              <w:autoSpaceDN w:val="0"/>
              <w:adjustRightInd w:val="0"/>
              <w:jc w:val="right"/>
              <w:rPr>
                <w:rFonts w:ascii="Century Gothic" w:hAnsi="Century Gothic" w:cs="Times New Roman"/>
                <w:b/>
                <w:bCs/>
                <w:color w:val="000000"/>
              </w:rPr>
            </w:pPr>
            <w:r w:rsidRPr="00515030">
              <w:rPr>
                <w:rFonts w:ascii="Century Gothic" w:hAnsi="Century Gothic" w:cs="Times New Roman"/>
                <w:color w:val="000000"/>
              </w:rPr>
              <w:t>$400</w:t>
            </w:r>
          </w:p>
        </w:tc>
      </w:tr>
      <w:tr w:rsidR="008931B4" w:rsidRPr="00515030" w14:paraId="6792FAE0" w14:textId="77777777" w:rsidTr="008826DB">
        <w:trPr>
          <w:jc w:val="center"/>
        </w:trPr>
        <w:tc>
          <w:tcPr>
            <w:tcW w:w="3284" w:type="dxa"/>
          </w:tcPr>
          <w:p w14:paraId="109F04B8" w14:textId="77777777" w:rsidR="008931B4" w:rsidRPr="00515030" w:rsidRDefault="008931B4" w:rsidP="006D09CA">
            <w:pPr>
              <w:autoSpaceDE w:val="0"/>
              <w:autoSpaceDN w:val="0"/>
              <w:adjustRightInd w:val="0"/>
              <w:rPr>
                <w:rFonts w:ascii="Century Gothic" w:hAnsi="Century Gothic" w:cs="Times New Roman"/>
                <w:b/>
                <w:bCs/>
                <w:color w:val="000000"/>
              </w:rPr>
            </w:pPr>
            <w:r w:rsidRPr="00515030">
              <w:rPr>
                <w:rFonts w:ascii="Century Gothic" w:hAnsi="Century Gothic" w:cs="Times New Roman"/>
                <w:color w:val="000000"/>
              </w:rPr>
              <w:t>GRV Single Persons Quarters</w:t>
            </w:r>
          </w:p>
        </w:tc>
        <w:tc>
          <w:tcPr>
            <w:tcW w:w="1927" w:type="dxa"/>
          </w:tcPr>
          <w:p w14:paraId="3F84B3BA" w14:textId="4EE4272D" w:rsidR="008931B4" w:rsidRPr="00515030" w:rsidRDefault="00CC5D70" w:rsidP="008931B4">
            <w:pPr>
              <w:autoSpaceDE w:val="0"/>
              <w:autoSpaceDN w:val="0"/>
              <w:adjustRightInd w:val="0"/>
              <w:jc w:val="right"/>
              <w:rPr>
                <w:rFonts w:ascii="Century Gothic" w:hAnsi="Century Gothic" w:cs="Times New Roman"/>
                <w:b/>
                <w:bCs/>
                <w:color w:val="000000"/>
              </w:rPr>
            </w:pPr>
            <w:r>
              <w:rPr>
                <w:rFonts w:ascii="Century Gothic" w:hAnsi="Century Gothic" w:cs="Times New Roman"/>
                <w:color w:val="000000"/>
              </w:rPr>
              <w:t>15.</w:t>
            </w:r>
            <w:r w:rsidR="004123FD">
              <w:rPr>
                <w:rFonts w:ascii="Century Gothic" w:hAnsi="Century Gothic" w:cs="Times New Roman"/>
                <w:color w:val="000000"/>
              </w:rPr>
              <w:t>9734</w:t>
            </w:r>
          </w:p>
        </w:tc>
        <w:tc>
          <w:tcPr>
            <w:tcW w:w="1560" w:type="dxa"/>
          </w:tcPr>
          <w:p w14:paraId="60EFB8D7" w14:textId="77777777" w:rsidR="008931B4" w:rsidRPr="00515030" w:rsidRDefault="008931B4" w:rsidP="008931B4">
            <w:pPr>
              <w:autoSpaceDE w:val="0"/>
              <w:autoSpaceDN w:val="0"/>
              <w:adjustRightInd w:val="0"/>
              <w:jc w:val="right"/>
              <w:rPr>
                <w:rFonts w:ascii="Century Gothic" w:hAnsi="Century Gothic" w:cs="Times New Roman"/>
                <w:b/>
                <w:bCs/>
                <w:color w:val="000000"/>
              </w:rPr>
            </w:pPr>
            <w:r w:rsidRPr="00515030">
              <w:rPr>
                <w:rFonts w:ascii="Century Gothic" w:hAnsi="Century Gothic" w:cs="Times New Roman"/>
                <w:color w:val="000000"/>
              </w:rPr>
              <w:t>$400</w:t>
            </w:r>
          </w:p>
        </w:tc>
      </w:tr>
      <w:tr w:rsidR="00F6655D" w:rsidRPr="00515030" w14:paraId="3D0AC94E" w14:textId="77777777" w:rsidTr="008826DB">
        <w:trPr>
          <w:jc w:val="center"/>
        </w:trPr>
        <w:tc>
          <w:tcPr>
            <w:tcW w:w="3284" w:type="dxa"/>
          </w:tcPr>
          <w:p w14:paraId="541B5F8E" w14:textId="77777777" w:rsidR="00F6655D" w:rsidRPr="00515030" w:rsidRDefault="00F6655D" w:rsidP="006D09CA">
            <w:pPr>
              <w:autoSpaceDE w:val="0"/>
              <w:autoSpaceDN w:val="0"/>
              <w:adjustRightInd w:val="0"/>
              <w:rPr>
                <w:rFonts w:ascii="Century Gothic" w:hAnsi="Century Gothic" w:cs="Times New Roman"/>
                <w:color w:val="000000"/>
              </w:rPr>
            </w:pPr>
          </w:p>
        </w:tc>
        <w:tc>
          <w:tcPr>
            <w:tcW w:w="1927" w:type="dxa"/>
          </w:tcPr>
          <w:p w14:paraId="392DB0DD" w14:textId="77777777" w:rsidR="00F6655D" w:rsidRPr="00515030" w:rsidRDefault="00F6655D" w:rsidP="008931B4">
            <w:pPr>
              <w:autoSpaceDE w:val="0"/>
              <w:autoSpaceDN w:val="0"/>
              <w:adjustRightInd w:val="0"/>
              <w:jc w:val="right"/>
              <w:rPr>
                <w:rFonts w:ascii="Century Gothic" w:hAnsi="Century Gothic" w:cs="Times New Roman"/>
                <w:color w:val="000000"/>
              </w:rPr>
            </w:pPr>
          </w:p>
        </w:tc>
        <w:tc>
          <w:tcPr>
            <w:tcW w:w="1560" w:type="dxa"/>
          </w:tcPr>
          <w:p w14:paraId="28E6E5CE" w14:textId="77777777" w:rsidR="00F6655D" w:rsidRPr="00515030" w:rsidRDefault="00F6655D" w:rsidP="008931B4">
            <w:pPr>
              <w:autoSpaceDE w:val="0"/>
              <w:autoSpaceDN w:val="0"/>
              <w:adjustRightInd w:val="0"/>
              <w:jc w:val="right"/>
              <w:rPr>
                <w:rFonts w:ascii="Century Gothic" w:hAnsi="Century Gothic" w:cs="Times New Roman"/>
                <w:color w:val="000000"/>
              </w:rPr>
            </w:pPr>
          </w:p>
        </w:tc>
      </w:tr>
      <w:tr w:rsidR="008931B4" w:rsidRPr="00515030" w14:paraId="0CA3CCAA" w14:textId="77777777" w:rsidTr="008826DB">
        <w:trPr>
          <w:jc w:val="center"/>
        </w:trPr>
        <w:tc>
          <w:tcPr>
            <w:tcW w:w="3284" w:type="dxa"/>
          </w:tcPr>
          <w:p w14:paraId="0CAF5D5D" w14:textId="77777777" w:rsidR="008931B4" w:rsidRPr="00515030" w:rsidRDefault="008931B4" w:rsidP="006D09CA">
            <w:pPr>
              <w:autoSpaceDE w:val="0"/>
              <w:autoSpaceDN w:val="0"/>
              <w:adjustRightInd w:val="0"/>
              <w:rPr>
                <w:rFonts w:ascii="Century Gothic" w:hAnsi="Century Gothic" w:cs="Times New Roman"/>
                <w:b/>
                <w:bCs/>
                <w:color w:val="000000"/>
              </w:rPr>
            </w:pPr>
            <w:r w:rsidRPr="00515030">
              <w:rPr>
                <w:rFonts w:ascii="Century Gothic" w:hAnsi="Century Gothic" w:cs="Times New Roman"/>
                <w:color w:val="000000"/>
              </w:rPr>
              <w:t>UV Rural</w:t>
            </w:r>
          </w:p>
        </w:tc>
        <w:tc>
          <w:tcPr>
            <w:tcW w:w="1927" w:type="dxa"/>
          </w:tcPr>
          <w:p w14:paraId="3E9D612C" w14:textId="5100B946" w:rsidR="008931B4" w:rsidRPr="00515030" w:rsidRDefault="00CC5D70" w:rsidP="008931B4">
            <w:pPr>
              <w:autoSpaceDE w:val="0"/>
              <w:autoSpaceDN w:val="0"/>
              <w:adjustRightInd w:val="0"/>
              <w:jc w:val="right"/>
              <w:rPr>
                <w:rFonts w:ascii="Century Gothic" w:hAnsi="Century Gothic" w:cs="Times New Roman"/>
                <w:b/>
                <w:bCs/>
                <w:color w:val="000000"/>
              </w:rPr>
            </w:pPr>
            <w:r>
              <w:rPr>
                <w:rFonts w:ascii="Century Gothic" w:hAnsi="Century Gothic" w:cs="Times New Roman"/>
                <w:color w:val="000000"/>
              </w:rPr>
              <w:t>1.7</w:t>
            </w:r>
            <w:r w:rsidR="004123FD">
              <w:rPr>
                <w:rFonts w:ascii="Century Gothic" w:hAnsi="Century Gothic" w:cs="Times New Roman"/>
                <w:color w:val="000000"/>
              </w:rPr>
              <w:t>751</w:t>
            </w:r>
          </w:p>
        </w:tc>
        <w:tc>
          <w:tcPr>
            <w:tcW w:w="1560" w:type="dxa"/>
          </w:tcPr>
          <w:p w14:paraId="36A5AB27" w14:textId="77777777" w:rsidR="008931B4" w:rsidRPr="00515030" w:rsidRDefault="008931B4" w:rsidP="008931B4">
            <w:pPr>
              <w:autoSpaceDE w:val="0"/>
              <w:autoSpaceDN w:val="0"/>
              <w:adjustRightInd w:val="0"/>
              <w:jc w:val="right"/>
              <w:rPr>
                <w:rFonts w:ascii="Century Gothic" w:hAnsi="Century Gothic" w:cs="Times New Roman"/>
                <w:b/>
                <w:bCs/>
                <w:color w:val="000000"/>
              </w:rPr>
            </w:pPr>
            <w:r w:rsidRPr="00515030">
              <w:rPr>
                <w:rFonts w:ascii="Century Gothic" w:hAnsi="Century Gothic" w:cs="Times New Roman"/>
                <w:color w:val="000000"/>
              </w:rPr>
              <w:t>$400</w:t>
            </w:r>
          </w:p>
        </w:tc>
      </w:tr>
      <w:tr w:rsidR="008931B4" w:rsidRPr="00515030" w14:paraId="2BF90AEF" w14:textId="77777777" w:rsidTr="0049744B">
        <w:trPr>
          <w:trHeight w:val="379"/>
          <w:jc w:val="center"/>
        </w:trPr>
        <w:tc>
          <w:tcPr>
            <w:tcW w:w="3284" w:type="dxa"/>
          </w:tcPr>
          <w:p w14:paraId="02EF52E7" w14:textId="77777777" w:rsidR="008931B4" w:rsidRPr="00515030" w:rsidRDefault="008931B4" w:rsidP="006D09CA">
            <w:pPr>
              <w:autoSpaceDE w:val="0"/>
              <w:autoSpaceDN w:val="0"/>
              <w:adjustRightInd w:val="0"/>
              <w:rPr>
                <w:rFonts w:ascii="Century Gothic" w:hAnsi="Century Gothic" w:cs="Times New Roman"/>
                <w:b/>
                <w:bCs/>
                <w:color w:val="000000"/>
              </w:rPr>
            </w:pPr>
            <w:r w:rsidRPr="00515030">
              <w:rPr>
                <w:rFonts w:ascii="Century Gothic" w:hAnsi="Century Gothic" w:cs="Times New Roman"/>
                <w:color w:val="000000"/>
              </w:rPr>
              <w:t>UV Mining</w:t>
            </w:r>
          </w:p>
        </w:tc>
        <w:tc>
          <w:tcPr>
            <w:tcW w:w="1927" w:type="dxa"/>
          </w:tcPr>
          <w:p w14:paraId="324C23C9" w14:textId="59A5A799" w:rsidR="008931B4" w:rsidRPr="00515030" w:rsidRDefault="00CC5D70" w:rsidP="008931B4">
            <w:pPr>
              <w:autoSpaceDE w:val="0"/>
              <w:autoSpaceDN w:val="0"/>
              <w:adjustRightInd w:val="0"/>
              <w:jc w:val="right"/>
              <w:rPr>
                <w:rFonts w:ascii="Century Gothic" w:hAnsi="Century Gothic" w:cs="Times New Roman"/>
                <w:b/>
                <w:bCs/>
                <w:color w:val="000000"/>
              </w:rPr>
            </w:pPr>
            <w:r>
              <w:rPr>
                <w:rFonts w:ascii="Century Gothic" w:hAnsi="Century Gothic" w:cs="Times New Roman"/>
                <w:color w:val="000000"/>
              </w:rPr>
              <w:t>17.</w:t>
            </w:r>
            <w:r w:rsidR="004123FD">
              <w:rPr>
                <w:rFonts w:ascii="Century Gothic" w:hAnsi="Century Gothic" w:cs="Times New Roman"/>
                <w:color w:val="000000"/>
              </w:rPr>
              <w:t>5667</w:t>
            </w:r>
          </w:p>
        </w:tc>
        <w:tc>
          <w:tcPr>
            <w:tcW w:w="1560" w:type="dxa"/>
          </w:tcPr>
          <w:p w14:paraId="2E05B4E2" w14:textId="244896A3" w:rsidR="008931B4" w:rsidRPr="00515030" w:rsidRDefault="008931B4" w:rsidP="008931B4">
            <w:pPr>
              <w:autoSpaceDE w:val="0"/>
              <w:autoSpaceDN w:val="0"/>
              <w:adjustRightInd w:val="0"/>
              <w:jc w:val="right"/>
              <w:rPr>
                <w:rFonts w:ascii="Century Gothic" w:hAnsi="Century Gothic" w:cs="Times New Roman"/>
                <w:b/>
                <w:bCs/>
                <w:color w:val="000000"/>
              </w:rPr>
            </w:pPr>
            <w:r w:rsidRPr="00515030">
              <w:rPr>
                <w:rFonts w:ascii="Century Gothic" w:hAnsi="Century Gothic" w:cs="Times New Roman"/>
                <w:color w:val="000000"/>
              </w:rPr>
              <w:t>$</w:t>
            </w:r>
            <w:r w:rsidR="00CC5D70">
              <w:rPr>
                <w:rFonts w:ascii="Century Gothic" w:hAnsi="Century Gothic" w:cs="Times New Roman"/>
                <w:color w:val="000000"/>
              </w:rPr>
              <w:t>4</w:t>
            </w:r>
            <w:r w:rsidRPr="00515030">
              <w:rPr>
                <w:rFonts w:ascii="Century Gothic" w:hAnsi="Century Gothic" w:cs="Times New Roman"/>
                <w:color w:val="000000"/>
              </w:rPr>
              <w:t>00</w:t>
            </w:r>
          </w:p>
        </w:tc>
      </w:tr>
    </w:tbl>
    <w:p w14:paraId="5F7ABD7A" w14:textId="226209BE" w:rsidR="00240AD4" w:rsidRDefault="00B317C2" w:rsidP="00231B2F">
      <w:pPr>
        <w:spacing w:after="0"/>
        <w:jc w:val="center"/>
        <w:rPr>
          <w:rFonts w:ascii="Century Gothic" w:hAnsi="Century Gothic" w:cs="Times New Roman"/>
          <w:b/>
          <w:bCs/>
          <w:color w:val="365F91" w:themeColor="accent1" w:themeShade="BF"/>
          <w:sz w:val="28"/>
          <w:szCs w:val="28"/>
        </w:rPr>
      </w:pPr>
      <w:r>
        <w:rPr>
          <w:noProof/>
        </w:rPr>
        <w:lastRenderedPageBreak/>
        <w:drawing>
          <wp:inline distT="0" distB="0" distL="0" distR="0" wp14:anchorId="261C8F2C" wp14:editId="1D5998F5">
            <wp:extent cx="6176303" cy="3931920"/>
            <wp:effectExtent l="0" t="0" r="15240" b="11430"/>
            <wp:docPr id="1" name="Chart 1">
              <a:extLst xmlns:a="http://schemas.openxmlformats.org/drawingml/2006/main">
                <a:ext uri="{FF2B5EF4-FFF2-40B4-BE49-F238E27FC236}">
                  <a16:creationId xmlns:a16="http://schemas.microsoft.com/office/drawing/2014/main" id="{8BFAEAD5-E704-4533-B1A0-DC1D139738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F27351B" w14:textId="77777777" w:rsidR="00240AD4" w:rsidRDefault="00240AD4" w:rsidP="00343EFE">
      <w:pPr>
        <w:spacing w:after="0"/>
        <w:rPr>
          <w:rFonts w:ascii="Century Gothic" w:hAnsi="Century Gothic" w:cs="Times New Roman"/>
          <w:b/>
          <w:bCs/>
          <w:color w:val="365F91" w:themeColor="accent1" w:themeShade="BF"/>
          <w:sz w:val="28"/>
          <w:szCs w:val="28"/>
        </w:rPr>
      </w:pPr>
    </w:p>
    <w:p w14:paraId="0B6B84EB" w14:textId="602FA436" w:rsidR="00076538" w:rsidRPr="00515030" w:rsidRDefault="006D09CA" w:rsidP="00343EFE">
      <w:pPr>
        <w:spacing w:after="0"/>
        <w:rPr>
          <w:rFonts w:ascii="Century Gothic" w:hAnsi="Century Gothic"/>
          <w:color w:val="365F91" w:themeColor="accent1" w:themeShade="BF"/>
          <w:sz w:val="24"/>
          <w:szCs w:val="24"/>
        </w:rPr>
      </w:pPr>
      <w:r w:rsidRPr="00515030">
        <w:rPr>
          <w:rFonts w:ascii="Century Gothic" w:hAnsi="Century Gothic" w:cs="Times New Roman"/>
          <w:b/>
          <w:bCs/>
          <w:color w:val="365F91" w:themeColor="accent1" w:themeShade="BF"/>
          <w:sz w:val="28"/>
          <w:szCs w:val="28"/>
        </w:rPr>
        <w:t>GRV – Gross Rental Value</w:t>
      </w:r>
    </w:p>
    <w:p w14:paraId="36D6F148" w14:textId="77777777" w:rsidR="00755E04" w:rsidRPr="00DE1CE4" w:rsidRDefault="00755E04" w:rsidP="00755E04">
      <w:pPr>
        <w:pStyle w:val="Heading2"/>
        <w:rPr>
          <w:rFonts w:ascii="Century Gothic" w:hAnsi="Century Gothic" w:cs="Times New Roman"/>
          <w:color w:val="365F91" w:themeColor="accent1" w:themeShade="BF"/>
          <w:sz w:val="22"/>
          <w:szCs w:val="22"/>
          <w:u w:val="single"/>
        </w:rPr>
      </w:pPr>
      <w:bookmarkStart w:id="0" w:name="_Toc420333465"/>
      <w:r w:rsidRPr="00DE1CE4">
        <w:rPr>
          <w:rFonts w:ascii="Century Gothic" w:hAnsi="Century Gothic" w:cs="Times New Roman"/>
          <w:color w:val="365F91" w:themeColor="accent1" w:themeShade="BF"/>
          <w:sz w:val="22"/>
          <w:szCs w:val="22"/>
          <w:u w:val="single"/>
        </w:rPr>
        <w:t>Category 1 – Residential/Industrial GRV</w:t>
      </w:r>
      <w:bookmarkEnd w:id="0"/>
    </w:p>
    <w:p w14:paraId="6EF31CB0" w14:textId="7BAA6B6A" w:rsidR="00755E04" w:rsidRPr="00515030" w:rsidRDefault="00755E04" w:rsidP="00687DBC">
      <w:pPr>
        <w:autoSpaceDE w:val="0"/>
        <w:autoSpaceDN w:val="0"/>
        <w:adjustRightInd w:val="0"/>
        <w:spacing w:after="0" w:line="240" w:lineRule="auto"/>
        <w:jc w:val="both"/>
        <w:rPr>
          <w:rFonts w:ascii="Century Gothic" w:hAnsi="Century Gothic" w:cs="Times New Roman"/>
        </w:rPr>
      </w:pPr>
      <w:r w:rsidRPr="00515030">
        <w:rPr>
          <w:rFonts w:ascii="Century Gothic" w:hAnsi="Century Gothic" w:cs="Times New Roman"/>
        </w:rPr>
        <w:t>The</w:t>
      </w:r>
      <w:r w:rsidR="00E409A8">
        <w:rPr>
          <w:rFonts w:ascii="Century Gothic" w:hAnsi="Century Gothic" w:cs="Times New Roman"/>
        </w:rPr>
        <w:t xml:space="preserve"> Residential/Industrial GRV rate category</w:t>
      </w:r>
      <w:r w:rsidRPr="00515030">
        <w:rPr>
          <w:rFonts w:ascii="Century Gothic" w:hAnsi="Century Gothic" w:cs="Times New Roman"/>
        </w:rPr>
        <w:t xml:space="preserve"> applies to all properties zoned residential and industrial and includes all GRV properties that do not fall within the catego</w:t>
      </w:r>
      <w:r w:rsidR="000017B0">
        <w:rPr>
          <w:rFonts w:ascii="Century Gothic" w:hAnsi="Century Gothic" w:cs="Times New Roman"/>
        </w:rPr>
        <w:t>ries of Commercial, Minesite</w:t>
      </w:r>
      <w:r w:rsidRPr="00515030">
        <w:rPr>
          <w:rFonts w:ascii="Century Gothic" w:hAnsi="Century Gothic" w:cs="Times New Roman"/>
        </w:rPr>
        <w:t xml:space="preserve"> and Single Persons Quarters. </w:t>
      </w:r>
    </w:p>
    <w:p w14:paraId="7FA07B5A" w14:textId="77777777" w:rsidR="00755E04" w:rsidRPr="00515030" w:rsidRDefault="00755E04" w:rsidP="00687DBC">
      <w:pPr>
        <w:autoSpaceDE w:val="0"/>
        <w:autoSpaceDN w:val="0"/>
        <w:adjustRightInd w:val="0"/>
        <w:spacing w:after="0" w:line="240" w:lineRule="auto"/>
        <w:jc w:val="both"/>
        <w:rPr>
          <w:rFonts w:ascii="Century Gothic" w:hAnsi="Century Gothic" w:cs="Times New Roman"/>
        </w:rPr>
      </w:pPr>
    </w:p>
    <w:p w14:paraId="275EC921" w14:textId="3BE25912" w:rsidR="005C1603" w:rsidRPr="005C1603" w:rsidRDefault="005C1603" w:rsidP="000017B0">
      <w:pPr>
        <w:autoSpaceDE w:val="0"/>
        <w:autoSpaceDN w:val="0"/>
        <w:adjustRightInd w:val="0"/>
        <w:spacing w:after="0" w:line="240" w:lineRule="auto"/>
        <w:jc w:val="both"/>
        <w:rPr>
          <w:rFonts w:ascii="Century Gothic" w:hAnsi="Century Gothic" w:cs="Times New Roman"/>
        </w:rPr>
      </w:pPr>
      <w:r w:rsidRPr="005C1603">
        <w:rPr>
          <w:rFonts w:ascii="Century Gothic" w:hAnsi="Century Gothic" w:cs="Times New Roman"/>
          <w:b/>
        </w:rPr>
        <w:t>OBJECT:</w:t>
      </w:r>
      <w:r w:rsidRPr="005C1603">
        <w:rPr>
          <w:rFonts w:ascii="Century Gothic" w:hAnsi="Century Gothic" w:cs="Times New Roman"/>
        </w:rPr>
        <w:t xml:space="preserve"> The object of this differential is to ensure that all residential and industrial ratepayers make a reasonable contribution towards the services and facilities pr</w:t>
      </w:r>
      <w:r w:rsidR="000A17A6">
        <w:rPr>
          <w:rFonts w:ascii="Century Gothic" w:hAnsi="Century Gothic" w:cs="Times New Roman"/>
        </w:rPr>
        <w:t>ovided and maintained by the Shire</w:t>
      </w:r>
      <w:r w:rsidRPr="005C1603">
        <w:rPr>
          <w:rFonts w:ascii="Century Gothic" w:hAnsi="Century Gothic" w:cs="Times New Roman"/>
        </w:rPr>
        <w:t xml:space="preserve"> for the benefit of residents.</w:t>
      </w:r>
      <w:r w:rsidR="00D47022">
        <w:rPr>
          <w:rFonts w:ascii="Century Gothic" w:hAnsi="Century Gothic" w:cs="Times New Roman"/>
        </w:rPr>
        <w:t xml:space="preserve">  T</w:t>
      </w:r>
      <w:r w:rsidR="00D47022" w:rsidRPr="000135E0">
        <w:rPr>
          <w:rFonts w:ascii="Century Gothic" w:hAnsi="Century Gothic"/>
        </w:rPr>
        <w:t>his differential rate is to be the</w:t>
      </w:r>
      <w:r w:rsidR="00D47022">
        <w:rPr>
          <w:rFonts w:ascii="Century Gothic" w:hAnsi="Century Gothic"/>
        </w:rPr>
        <w:t xml:space="preserve"> base rate by which all other GRV</w:t>
      </w:r>
      <w:r w:rsidR="00D47022" w:rsidRPr="000135E0">
        <w:rPr>
          <w:rFonts w:ascii="Century Gothic" w:hAnsi="Century Gothic"/>
        </w:rPr>
        <w:t xml:space="preserve"> rated properties are assessed.</w:t>
      </w:r>
    </w:p>
    <w:p w14:paraId="39E628B7" w14:textId="77777777" w:rsidR="005C1603" w:rsidRPr="005C1603" w:rsidRDefault="005C1603" w:rsidP="000017B0">
      <w:pPr>
        <w:autoSpaceDE w:val="0"/>
        <w:autoSpaceDN w:val="0"/>
        <w:adjustRightInd w:val="0"/>
        <w:spacing w:after="0" w:line="240" w:lineRule="auto"/>
        <w:jc w:val="both"/>
        <w:rPr>
          <w:rFonts w:ascii="Century Gothic" w:hAnsi="Century Gothic" w:cs="Times New Roman"/>
        </w:rPr>
      </w:pPr>
    </w:p>
    <w:p w14:paraId="2F512357" w14:textId="7A56C9B5" w:rsidR="005C1603" w:rsidRDefault="005C1603" w:rsidP="000017B0">
      <w:pPr>
        <w:autoSpaceDE w:val="0"/>
        <w:autoSpaceDN w:val="0"/>
        <w:adjustRightInd w:val="0"/>
        <w:spacing w:after="0" w:line="240" w:lineRule="auto"/>
        <w:jc w:val="both"/>
        <w:rPr>
          <w:rFonts w:ascii="Century Gothic" w:hAnsi="Century Gothic" w:cs="Times New Roman"/>
        </w:rPr>
      </w:pPr>
      <w:r w:rsidRPr="005C1603">
        <w:rPr>
          <w:rFonts w:ascii="Century Gothic" w:hAnsi="Century Gothic" w:cs="Times New Roman"/>
          <w:b/>
        </w:rPr>
        <w:t>REASONS (why the rate differs from other categories):</w:t>
      </w:r>
      <w:r w:rsidRPr="005C1603">
        <w:rPr>
          <w:rFonts w:ascii="Century Gothic" w:hAnsi="Century Gothic" w:cs="Times New Roman"/>
        </w:rPr>
        <w:t xml:space="preserve"> Revenue derived from this category to assist funding the service levels expected of the community, achieving the Strategic Community Plan and minimum standards of performance to which the Council will be measured by the State Government and others.</w:t>
      </w:r>
    </w:p>
    <w:p w14:paraId="12EC287B" w14:textId="77777777" w:rsidR="005C1603" w:rsidRDefault="005C1603" w:rsidP="000017B0">
      <w:pPr>
        <w:autoSpaceDE w:val="0"/>
        <w:autoSpaceDN w:val="0"/>
        <w:adjustRightInd w:val="0"/>
        <w:spacing w:after="0" w:line="240" w:lineRule="auto"/>
        <w:jc w:val="both"/>
        <w:rPr>
          <w:rFonts w:ascii="Century Gothic" w:hAnsi="Century Gothic" w:cs="Times New Roman"/>
        </w:rPr>
      </w:pPr>
    </w:p>
    <w:p w14:paraId="4AA92FCB" w14:textId="6B766A18" w:rsidR="00755E04" w:rsidRDefault="00DC1C5F" w:rsidP="000017B0">
      <w:pPr>
        <w:autoSpaceDE w:val="0"/>
        <w:autoSpaceDN w:val="0"/>
        <w:adjustRightInd w:val="0"/>
        <w:spacing w:after="0" w:line="240" w:lineRule="auto"/>
        <w:jc w:val="both"/>
        <w:rPr>
          <w:rFonts w:ascii="Century Gothic" w:hAnsi="Century Gothic" w:cs="Times New Roman"/>
        </w:rPr>
      </w:pPr>
      <w:r>
        <w:rPr>
          <w:rFonts w:ascii="Century Gothic" w:hAnsi="Century Gothic" w:cs="Times New Roman"/>
        </w:rPr>
        <w:t>The proposed rate</w:t>
      </w:r>
      <w:r w:rsidR="004A6AB4" w:rsidRPr="00515030">
        <w:rPr>
          <w:rFonts w:ascii="Century Gothic" w:hAnsi="Century Gothic" w:cs="Times New Roman"/>
        </w:rPr>
        <w:t xml:space="preserve"> </w:t>
      </w:r>
      <w:r w:rsidR="000135E0">
        <w:rPr>
          <w:rFonts w:ascii="Century Gothic" w:hAnsi="Century Gothic" w:cs="Times New Roman"/>
        </w:rPr>
        <w:t>of 11.</w:t>
      </w:r>
      <w:r w:rsidR="007959D7">
        <w:rPr>
          <w:rFonts w:ascii="Century Gothic" w:hAnsi="Century Gothic" w:cs="Times New Roman"/>
        </w:rPr>
        <w:t>3458</w:t>
      </w:r>
      <w:r w:rsidR="000017B0">
        <w:rPr>
          <w:rFonts w:ascii="Century Gothic" w:hAnsi="Century Gothic" w:cs="Times New Roman"/>
        </w:rPr>
        <w:t xml:space="preserve"> cents in the dollar </w:t>
      </w:r>
      <w:r w:rsidR="004A6AB4" w:rsidRPr="00515030">
        <w:rPr>
          <w:rFonts w:ascii="Century Gothic" w:hAnsi="Century Gothic" w:cs="Times New Roman"/>
        </w:rPr>
        <w:t xml:space="preserve">represents a </w:t>
      </w:r>
      <w:r w:rsidR="009F3054">
        <w:rPr>
          <w:rFonts w:ascii="Century Gothic" w:hAnsi="Century Gothic" w:cs="Times New Roman"/>
        </w:rPr>
        <w:t>0</w:t>
      </w:r>
      <w:r w:rsidR="009A6A82">
        <w:rPr>
          <w:rFonts w:ascii="Century Gothic" w:hAnsi="Century Gothic" w:cs="Times New Roman"/>
        </w:rPr>
        <w:t>.5</w:t>
      </w:r>
      <w:r w:rsidR="005C1603">
        <w:rPr>
          <w:rFonts w:ascii="Century Gothic" w:hAnsi="Century Gothic" w:cs="Times New Roman"/>
        </w:rPr>
        <w:t>%</w:t>
      </w:r>
      <w:r w:rsidR="004A6AB4" w:rsidRPr="00515030">
        <w:rPr>
          <w:rFonts w:ascii="Century Gothic" w:hAnsi="Century Gothic" w:cs="Times New Roman"/>
        </w:rPr>
        <w:t xml:space="preserve"> increase</w:t>
      </w:r>
      <w:r w:rsidR="008D7DC0" w:rsidRPr="008D7DC0">
        <w:rPr>
          <w:rFonts w:ascii="Century Gothic" w:hAnsi="Century Gothic" w:cs="Times New Roman"/>
        </w:rPr>
        <w:t xml:space="preserve"> </w:t>
      </w:r>
      <w:r w:rsidR="008D7DC0">
        <w:rPr>
          <w:rFonts w:ascii="Century Gothic" w:hAnsi="Century Gothic" w:cs="Times New Roman"/>
        </w:rPr>
        <w:t xml:space="preserve">on those imposed in </w:t>
      </w:r>
      <w:r w:rsidR="007959D7">
        <w:rPr>
          <w:rFonts w:ascii="Century Gothic" w:hAnsi="Century Gothic" w:cs="Times New Roman"/>
        </w:rPr>
        <w:t>2021/22</w:t>
      </w:r>
      <w:r w:rsidR="004A6AB4" w:rsidRPr="00515030">
        <w:rPr>
          <w:rFonts w:ascii="Century Gothic" w:hAnsi="Century Gothic" w:cs="Times New Roman"/>
        </w:rPr>
        <w:t>.</w:t>
      </w:r>
    </w:p>
    <w:p w14:paraId="70222ECA" w14:textId="3397AEF2" w:rsidR="007959D7" w:rsidRDefault="007959D7" w:rsidP="000017B0">
      <w:pPr>
        <w:autoSpaceDE w:val="0"/>
        <w:autoSpaceDN w:val="0"/>
        <w:adjustRightInd w:val="0"/>
        <w:spacing w:after="0" w:line="240" w:lineRule="auto"/>
        <w:jc w:val="both"/>
        <w:rPr>
          <w:rFonts w:ascii="Century Gothic" w:hAnsi="Century Gothic" w:cs="Times New Roman"/>
        </w:rPr>
      </w:pPr>
    </w:p>
    <w:p w14:paraId="5D1F3DDF" w14:textId="12958A8D" w:rsidR="007959D7" w:rsidRDefault="007959D7" w:rsidP="000017B0">
      <w:pPr>
        <w:autoSpaceDE w:val="0"/>
        <w:autoSpaceDN w:val="0"/>
        <w:adjustRightInd w:val="0"/>
        <w:spacing w:after="0" w:line="240" w:lineRule="auto"/>
        <w:jc w:val="both"/>
        <w:rPr>
          <w:rFonts w:ascii="Century Gothic" w:hAnsi="Century Gothic" w:cs="Times New Roman"/>
        </w:rPr>
      </w:pPr>
    </w:p>
    <w:p w14:paraId="0DF10457" w14:textId="6E67EA12" w:rsidR="007959D7" w:rsidRDefault="007959D7" w:rsidP="000017B0">
      <w:pPr>
        <w:autoSpaceDE w:val="0"/>
        <w:autoSpaceDN w:val="0"/>
        <w:adjustRightInd w:val="0"/>
        <w:spacing w:after="0" w:line="240" w:lineRule="auto"/>
        <w:jc w:val="both"/>
        <w:rPr>
          <w:rFonts w:ascii="Century Gothic" w:hAnsi="Century Gothic" w:cs="Times New Roman"/>
        </w:rPr>
      </w:pPr>
    </w:p>
    <w:p w14:paraId="238BB8DD" w14:textId="1FA8423F" w:rsidR="007959D7" w:rsidRDefault="007959D7" w:rsidP="000017B0">
      <w:pPr>
        <w:autoSpaceDE w:val="0"/>
        <w:autoSpaceDN w:val="0"/>
        <w:adjustRightInd w:val="0"/>
        <w:spacing w:after="0" w:line="240" w:lineRule="auto"/>
        <w:jc w:val="both"/>
        <w:rPr>
          <w:rFonts w:ascii="Century Gothic" w:hAnsi="Century Gothic" w:cs="Times New Roman"/>
        </w:rPr>
      </w:pPr>
    </w:p>
    <w:p w14:paraId="15023585" w14:textId="44B44A12" w:rsidR="007959D7" w:rsidRDefault="007959D7" w:rsidP="000017B0">
      <w:pPr>
        <w:autoSpaceDE w:val="0"/>
        <w:autoSpaceDN w:val="0"/>
        <w:adjustRightInd w:val="0"/>
        <w:spacing w:after="0" w:line="240" w:lineRule="auto"/>
        <w:jc w:val="both"/>
        <w:rPr>
          <w:rFonts w:ascii="Century Gothic" w:hAnsi="Century Gothic" w:cs="Times New Roman"/>
        </w:rPr>
      </w:pPr>
    </w:p>
    <w:p w14:paraId="538A78B8" w14:textId="77777777" w:rsidR="007959D7" w:rsidRDefault="007959D7" w:rsidP="000017B0">
      <w:pPr>
        <w:autoSpaceDE w:val="0"/>
        <w:autoSpaceDN w:val="0"/>
        <w:adjustRightInd w:val="0"/>
        <w:spacing w:after="0" w:line="240" w:lineRule="auto"/>
        <w:jc w:val="both"/>
        <w:rPr>
          <w:rFonts w:ascii="Century Gothic" w:hAnsi="Century Gothic" w:cs="Times New Roman"/>
        </w:rPr>
      </w:pPr>
    </w:p>
    <w:p w14:paraId="061F7B88" w14:textId="4B3BD782" w:rsidR="00755E04" w:rsidRPr="00DE1CE4" w:rsidRDefault="00755E04" w:rsidP="00755E04">
      <w:pPr>
        <w:pStyle w:val="Heading2"/>
        <w:rPr>
          <w:rFonts w:ascii="Century Gothic" w:hAnsi="Century Gothic" w:cs="Times New Roman"/>
          <w:color w:val="365F91" w:themeColor="accent1" w:themeShade="BF"/>
          <w:sz w:val="22"/>
          <w:szCs w:val="22"/>
          <w:u w:val="single"/>
        </w:rPr>
      </w:pPr>
      <w:bookmarkStart w:id="1" w:name="_Toc420333466"/>
      <w:r w:rsidRPr="00DE1CE4">
        <w:rPr>
          <w:rFonts w:ascii="Century Gothic" w:hAnsi="Century Gothic" w:cs="Times New Roman"/>
          <w:color w:val="365F91" w:themeColor="accent1" w:themeShade="BF"/>
          <w:sz w:val="22"/>
          <w:szCs w:val="22"/>
          <w:u w:val="single"/>
        </w:rPr>
        <w:lastRenderedPageBreak/>
        <w:t>Category 2 – Commercial GRV</w:t>
      </w:r>
      <w:bookmarkEnd w:id="1"/>
    </w:p>
    <w:p w14:paraId="00D2BEF1" w14:textId="07248588" w:rsidR="00755E04" w:rsidRPr="00515030" w:rsidRDefault="00E409A8" w:rsidP="000017B0">
      <w:pPr>
        <w:autoSpaceDE w:val="0"/>
        <w:autoSpaceDN w:val="0"/>
        <w:adjustRightInd w:val="0"/>
        <w:spacing w:after="0" w:line="240" w:lineRule="auto"/>
        <w:jc w:val="both"/>
        <w:rPr>
          <w:rFonts w:ascii="Century Gothic" w:hAnsi="Century Gothic" w:cs="Times New Roman"/>
        </w:rPr>
      </w:pPr>
      <w:r>
        <w:rPr>
          <w:rFonts w:ascii="Century Gothic" w:hAnsi="Century Gothic" w:cs="Times New Roman"/>
        </w:rPr>
        <w:t>The Commercial GRV rate category</w:t>
      </w:r>
      <w:r w:rsidR="00755E04" w:rsidRPr="00515030">
        <w:rPr>
          <w:rFonts w:ascii="Century Gothic" w:hAnsi="Century Gothic" w:cs="Times New Roman"/>
        </w:rPr>
        <w:t xml:space="preserve"> is levied on properties with a commercial land use. </w:t>
      </w:r>
    </w:p>
    <w:p w14:paraId="2FF3CF4F" w14:textId="70D2AAC1" w:rsidR="00755E04" w:rsidRDefault="00755E04" w:rsidP="000017B0">
      <w:pPr>
        <w:autoSpaceDE w:val="0"/>
        <w:autoSpaceDN w:val="0"/>
        <w:adjustRightInd w:val="0"/>
        <w:spacing w:after="0" w:line="240" w:lineRule="auto"/>
        <w:jc w:val="both"/>
        <w:rPr>
          <w:rFonts w:ascii="Century Gothic" w:hAnsi="Century Gothic" w:cs="Times New Roman"/>
        </w:rPr>
      </w:pPr>
    </w:p>
    <w:p w14:paraId="03DA6D31" w14:textId="4B4106D4" w:rsidR="000017B0" w:rsidRPr="000017B0" w:rsidRDefault="000017B0" w:rsidP="000017B0">
      <w:pPr>
        <w:autoSpaceDE w:val="0"/>
        <w:autoSpaceDN w:val="0"/>
        <w:adjustRightInd w:val="0"/>
        <w:spacing w:after="0" w:line="240" w:lineRule="auto"/>
        <w:jc w:val="both"/>
        <w:rPr>
          <w:rFonts w:ascii="Century Gothic" w:hAnsi="Century Gothic" w:cs="Calibri"/>
          <w:color w:val="000000"/>
        </w:rPr>
      </w:pPr>
      <w:r w:rsidRPr="000017B0">
        <w:rPr>
          <w:rFonts w:ascii="Century Gothic" w:hAnsi="Century Gothic" w:cs="Calibri"/>
          <w:b/>
          <w:bCs/>
          <w:color w:val="000000"/>
        </w:rPr>
        <w:t xml:space="preserve">OBJECT: </w:t>
      </w:r>
      <w:r w:rsidRPr="000017B0">
        <w:rPr>
          <w:rFonts w:ascii="Century Gothic" w:hAnsi="Century Gothic" w:cs="Calibri"/>
          <w:color w:val="000000"/>
        </w:rPr>
        <w:t>The object of this differential rate is to apply rates to all income producing facilities, raising revenue to fund costs associated with the service provided to these properties.</w:t>
      </w:r>
    </w:p>
    <w:p w14:paraId="71077F55" w14:textId="47ACCAF4" w:rsidR="000017B0" w:rsidRDefault="000017B0" w:rsidP="000017B0">
      <w:pPr>
        <w:autoSpaceDE w:val="0"/>
        <w:autoSpaceDN w:val="0"/>
        <w:adjustRightInd w:val="0"/>
        <w:spacing w:after="0" w:line="240" w:lineRule="auto"/>
        <w:jc w:val="both"/>
        <w:rPr>
          <w:rFonts w:ascii="Century Gothic" w:hAnsi="Century Gothic" w:cs="Calibri"/>
          <w:color w:val="000000"/>
        </w:rPr>
      </w:pPr>
    </w:p>
    <w:p w14:paraId="5CED998F" w14:textId="2326B52B" w:rsidR="000017B0" w:rsidRPr="000017B0" w:rsidRDefault="000017B0" w:rsidP="000017B0">
      <w:pPr>
        <w:autoSpaceDE w:val="0"/>
        <w:autoSpaceDN w:val="0"/>
        <w:adjustRightInd w:val="0"/>
        <w:spacing w:after="0" w:line="240" w:lineRule="auto"/>
        <w:jc w:val="both"/>
        <w:rPr>
          <w:rFonts w:ascii="Century Gothic" w:hAnsi="Century Gothic" w:cs="Times New Roman"/>
        </w:rPr>
      </w:pPr>
      <w:r w:rsidRPr="000017B0">
        <w:rPr>
          <w:rFonts w:ascii="Century Gothic" w:hAnsi="Century Gothic" w:cs="Calibri"/>
          <w:b/>
          <w:bCs/>
          <w:color w:val="000000"/>
        </w:rPr>
        <w:t xml:space="preserve">REASONS (why the rate differs from other categories): </w:t>
      </w:r>
      <w:r w:rsidRPr="000017B0">
        <w:rPr>
          <w:rFonts w:ascii="Century Gothic" w:hAnsi="Century Gothic" w:cs="Calibri"/>
          <w:color w:val="000000"/>
        </w:rPr>
        <w:t>Additional costs associated with servicin</w:t>
      </w:r>
      <w:r>
        <w:rPr>
          <w:rFonts w:ascii="Century Gothic" w:hAnsi="Century Gothic" w:cs="Calibri"/>
          <w:color w:val="000000"/>
        </w:rPr>
        <w:t>g commercial activity</w:t>
      </w:r>
      <w:r w:rsidRPr="000017B0">
        <w:rPr>
          <w:rFonts w:ascii="Century Gothic" w:hAnsi="Century Gothic" w:cs="Calibri"/>
          <w:color w:val="000000"/>
        </w:rPr>
        <w:t xml:space="preserve"> including car parking, landscaping and other amenities. Other costs associated with tourism and economic development activities have a benefi</w:t>
      </w:r>
      <w:r>
        <w:rPr>
          <w:rFonts w:ascii="Century Gothic" w:hAnsi="Century Gothic" w:cs="Calibri"/>
          <w:color w:val="000000"/>
        </w:rPr>
        <w:t>t to these ratepayers. Lower rate in the dollar</w:t>
      </w:r>
      <w:r w:rsidRPr="000017B0">
        <w:rPr>
          <w:rFonts w:ascii="Century Gothic" w:hAnsi="Century Gothic" w:cs="Calibri"/>
          <w:color w:val="000000"/>
        </w:rPr>
        <w:t xml:space="preserve"> compare</w:t>
      </w:r>
      <w:r>
        <w:rPr>
          <w:rFonts w:ascii="Century Gothic" w:hAnsi="Century Gothic" w:cs="Calibri"/>
          <w:color w:val="000000"/>
        </w:rPr>
        <w:t>d to R</w:t>
      </w:r>
      <w:r w:rsidRPr="000017B0">
        <w:rPr>
          <w:rFonts w:ascii="Century Gothic" w:hAnsi="Century Gothic" w:cs="Calibri"/>
          <w:color w:val="000000"/>
        </w:rPr>
        <w:t>esidential</w:t>
      </w:r>
      <w:r>
        <w:rPr>
          <w:rFonts w:ascii="Century Gothic" w:hAnsi="Century Gothic" w:cs="Calibri"/>
          <w:color w:val="000000"/>
        </w:rPr>
        <w:t>/Industrial</w:t>
      </w:r>
      <w:r w:rsidRPr="000017B0">
        <w:rPr>
          <w:rFonts w:ascii="Century Gothic" w:hAnsi="Century Gothic" w:cs="Calibri"/>
          <w:color w:val="000000"/>
        </w:rPr>
        <w:t xml:space="preserve"> to reflect the economic circumstances assoc</w:t>
      </w:r>
      <w:r>
        <w:rPr>
          <w:rFonts w:ascii="Century Gothic" w:hAnsi="Century Gothic" w:cs="Calibri"/>
          <w:color w:val="000000"/>
        </w:rPr>
        <w:t>iated with doing business in a remote location</w:t>
      </w:r>
      <w:r w:rsidRPr="000017B0">
        <w:rPr>
          <w:rFonts w:ascii="Century Gothic" w:hAnsi="Century Gothic" w:cs="Calibri"/>
          <w:color w:val="000000"/>
        </w:rPr>
        <w:t>. This will encourage retention of commercial activities during current economic circumstances, providing diversification of the economy and opportunity for local employment.</w:t>
      </w:r>
    </w:p>
    <w:p w14:paraId="17686380" w14:textId="1ABDF6CD" w:rsidR="000017B0" w:rsidRDefault="000017B0" w:rsidP="00687DBC">
      <w:pPr>
        <w:autoSpaceDE w:val="0"/>
        <w:autoSpaceDN w:val="0"/>
        <w:adjustRightInd w:val="0"/>
        <w:spacing w:after="0" w:line="240" w:lineRule="auto"/>
        <w:jc w:val="both"/>
        <w:rPr>
          <w:rFonts w:ascii="Century Gothic" w:hAnsi="Century Gothic" w:cs="Times New Roman"/>
        </w:rPr>
      </w:pPr>
    </w:p>
    <w:p w14:paraId="6DDEC4FC" w14:textId="4D578CFA" w:rsidR="000017B0" w:rsidRDefault="000017B0" w:rsidP="000017B0">
      <w:pPr>
        <w:autoSpaceDE w:val="0"/>
        <w:autoSpaceDN w:val="0"/>
        <w:adjustRightInd w:val="0"/>
        <w:spacing w:after="0" w:line="240" w:lineRule="auto"/>
        <w:jc w:val="both"/>
        <w:rPr>
          <w:rFonts w:ascii="Century Gothic" w:hAnsi="Century Gothic" w:cs="Times New Roman"/>
        </w:rPr>
      </w:pPr>
      <w:r>
        <w:rPr>
          <w:rFonts w:ascii="Century Gothic" w:hAnsi="Century Gothic" w:cs="Times New Roman"/>
        </w:rPr>
        <w:t>The proposed rate</w:t>
      </w:r>
      <w:r w:rsidRPr="00515030">
        <w:rPr>
          <w:rFonts w:ascii="Century Gothic" w:hAnsi="Century Gothic" w:cs="Times New Roman"/>
        </w:rPr>
        <w:t xml:space="preserve"> </w:t>
      </w:r>
      <w:r w:rsidR="000135E0">
        <w:rPr>
          <w:rFonts w:ascii="Century Gothic" w:hAnsi="Century Gothic" w:cs="Times New Roman"/>
        </w:rPr>
        <w:t>of 7.</w:t>
      </w:r>
      <w:r w:rsidR="003663FE">
        <w:rPr>
          <w:rFonts w:ascii="Century Gothic" w:hAnsi="Century Gothic" w:cs="Times New Roman"/>
        </w:rPr>
        <w:t>9</w:t>
      </w:r>
      <w:r w:rsidR="00B218EB">
        <w:rPr>
          <w:rFonts w:ascii="Century Gothic" w:hAnsi="Century Gothic" w:cs="Times New Roman"/>
        </w:rPr>
        <w:t>866</w:t>
      </w:r>
      <w:r>
        <w:rPr>
          <w:rFonts w:ascii="Century Gothic" w:hAnsi="Century Gothic" w:cs="Times New Roman"/>
        </w:rPr>
        <w:t xml:space="preserve"> cents in the dollar </w:t>
      </w:r>
      <w:r w:rsidRPr="00515030">
        <w:rPr>
          <w:rFonts w:ascii="Century Gothic" w:hAnsi="Century Gothic" w:cs="Times New Roman"/>
        </w:rPr>
        <w:t xml:space="preserve">represents a </w:t>
      </w:r>
      <w:r w:rsidR="00651386">
        <w:rPr>
          <w:rFonts w:ascii="Century Gothic" w:hAnsi="Century Gothic" w:cs="Times New Roman"/>
        </w:rPr>
        <w:t>0.5%</w:t>
      </w:r>
      <w:r w:rsidRPr="00515030">
        <w:rPr>
          <w:rFonts w:ascii="Century Gothic" w:hAnsi="Century Gothic" w:cs="Times New Roman"/>
        </w:rPr>
        <w:t xml:space="preserve"> increase</w:t>
      </w:r>
      <w:r w:rsidRPr="008D7DC0">
        <w:rPr>
          <w:rFonts w:ascii="Century Gothic" w:hAnsi="Century Gothic" w:cs="Times New Roman"/>
        </w:rPr>
        <w:t xml:space="preserve"> </w:t>
      </w:r>
      <w:r>
        <w:rPr>
          <w:rFonts w:ascii="Century Gothic" w:hAnsi="Century Gothic" w:cs="Times New Roman"/>
        </w:rPr>
        <w:t xml:space="preserve">on those imposed in </w:t>
      </w:r>
      <w:r w:rsidR="007959D7">
        <w:rPr>
          <w:rFonts w:ascii="Century Gothic" w:hAnsi="Century Gothic" w:cs="Times New Roman"/>
        </w:rPr>
        <w:t>2021/22</w:t>
      </w:r>
      <w:r w:rsidR="003663FE">
        <w:rPr>
          <w:rFonts w:ascii="Century Gothic" w:hAnsi="Century Gothic" w:cs="Times New Roman"/>
        </w:rPr>
        <w:t>.</w:t>
      </w:r>
    </w:p>
    <w:p w14:paraId="62CB13B0" w14:textId="77777777" w:rsidR="004A6AB4" w:rsidRPr="00515030" w:rsidRDefault="004A6AB4" w:rsidP="00687DBC">
      <w:pPr>
        <w:autoSpaceDE w:val="0"/>
        <w:autoSpaceDN w:val="0"/>
        <w:adjustRightInd w:val="0"/>
        <w:spacing w:after="0" w:line="240" w:lineRule="auto"/>
        <w:jc w:val="both"/>
        <w:rPr>
          <w:rFonts w:ascii="Century Gothic" w:hAnsi="Century Gothic" w:cs="Times New Roman"/>
        </w:rPr>
      </w:pPr>
    </w:p>
    <w:p w14:paraId="23BF214E" w14:textId="77777777" w:rsidR="00755E04" w:rsidRPr="00DE1CE4" w:rsidRDefault="00755E04" w:rsidP="00755E04">
      <w:pPr>
        <w:pStyle w:val="Heading2"/>
        <w:rPr>
          <w:rFonts w:ascii="Century Gothic" w:hAnsi="Century Gothic" w:cs="Times New Roman"/>
          <w:color w:val="365F91" w:themeColor="accent1" w:themeShade="BF"/>
          <w:sz w:val="22"/>
          <w:szCs w:val="22"/>
          <w:u w:val="single"/>
        </w:rPr>
      </w:pPr>
      <w:r w:rsidRPr="00DE1CE4">
        <w:rPr>
          <w:rFonts w:ascii="Century Gothic" w:hAnsi="Century Gothic" w:cs="Times New Roman"/>
          <w:color w:val="365F91" w:themeColor="accent1" w:themeShade="BF"/>
          <w:sz w:val="22"/>
          <w:szCs w:val="22"/>
          <w:u w:val="single"/>
        </w:rPr>
        <w:t>Category 3 – Minesites GRV</w:t>
      </w:r>
    </w:p>
    <w:p w14:paraId="74B58881" w14:textId="77777777" w:rsidR="00E409A8" w:rsidRDefault="00E409A8" w:rsidP="00687DBC">
      <w:pPr>
        <w:autoSpaceDE w:val="0"/>
        <w:autoSpaceDN w:val="0"/>
        <w:adjustRightInd w:val="0"/>
        <w:spacing w:after="0" w:line="240" w:lineRule="auto"/>
        <w:jc w:val="both"/>
        <w:rPr>
          <w:rFonts w:ascii="Century Gothic" w:hAnsi="Century Gothic" w:cs="Times New Roman"/>
        </w:rPr>
      </w:pPr>
    </w:p>
    <w:p w14:paraId="62CF01BF" w14:textId="0DD6A389" w:rsidR="00E409A8" w:rsidRPr="00E409A8" w:rsidRDefault="00E409A8" w:rsidP="00687DBC">
      <w:pPr>
        <w:autoSpaceDE w:val="0"/>
        <w:autoSpaceDN w:val="0"/>
        <w:adjustRightInd w:val="0"/>
        <w:spacing w:after="0" w:line="240" w:lineRule="auto"/>
        <w:jc w:val="both"/>
        <w:rPr>
          <w:rFonts w:ascii="Century Gothic" w:hAnsi="Century Gothic" w:cs="Times New Roman"/>
        </w:rPr>
      </w:pPr>
      <w:r w:rsidRPr="00515030">
        <w:rPr>
          <w:rFonts w:ascii="Century Gothic" w:hAnsi="Century Gothic" w:cs="Times New Roman"/>
        </w:rPr>
        <w:t xml:space="preserve">The Minesites GRV </w:t>
      </w:r>
      <w:r>
        <w:rPr>
          <w:rFonts w:ascii="Century Gothic" w:hAnsi="Century Gothic" w:cs="Times New Roman"/>
        </w:rPr>
        <w:t xml:space="preserve">rate </w:t>
      </w:r>
      <w:r w:rsidRPr="00E409A8">
        <w:rPr>
          <w:rFonts w:ascii="Century Gothic" w:hAnsi="Century Gothic"/>
        </w:rPr>
        <w:t>category covers all Mining Leases</w:t>
      </w:r>
      <w:r>
        <w:rPr>
          <w:rFonts w:ascii="Century Gothic" w:hAnsi="Century Gothic"/>
        </w:rPr>
        <w:t xml:space="preserve"> with improvements on the land.</w:t>
      </w:r>
    </w:p>
    <w:p w14:paraId="60F091A6" w14:textId="6BDA479C" w:rsidR="00755E04" w:rsidRDefault="00755E04" w:rsidP="00687DBC">
      <w:pPr>
        <w:autoSpaceDE w:val="0"/>
        <w:autoSpaceDN w:val="0"/>
        <w:adjustRightInd w:val="0"/>
        <w:spacing w:after="0" w:line="240" w:lineRule="auto"/>
        <w:jc w:val="both"/>
        <w:rPr>
          <w:rFonts w:ascii="Century Gothic" w:hAnsi="Century Gothic" w:cs="Times New Roman"/>
        </w:rPr>
      </w:pPr>
    </w:p>
    <w:p w14:paraId="2FFA2B33" w14:textId="773C3CDE" w:rsidR="00E409A8" w:rsidRPr="00E409A8" w:rsidRDefault="00E409A8" w:rsidP="00687DBC">
      <w:pPr>
        <w:autoSpaceDE w:val="0"/>
        <w:autoSpaceDN w:val="0"/>
        <w:adjustRightInd w:val="0"/>
        <w:spacing w:after="0" w:line="240" w:lineRule="auto"/>
        <w:jc w:val="both"/>
        <w:rPr>
          <w:rFonts w:ascii="Century Gothic" w:hAnsi="Century Gothic" w:cs="Times New Roman"/>
        </w:rPr>
      </w:pPr>
      <w:r w:rsidRPr="00E409A8">
        <w:rPr>
          <w:rFonts w:ascii="Century Gothic" w:hAnsi="Century Gothic"/>
          <w:b/>
          <w:bCs/>
        </w:rPr>
        <w:t xml:space="preserve">OBJECT: </w:t>
      </w:r>
      <w:r w:rsidRPr="00E409A8">
        <w:rPr>
          <w:rFonts w:ascii="Century Gothic" w:hAnsi="Century Gothic"/>
        </w:rPr>
        <w:t xml:space="preserve">The object of this differential rate is to raise additional revenue </w:t>
      </w:r>
      <w:r>
        <w:rPr>
          <w:rFonts w:ascii="Century Gothic" w:hAnsi="Century Gothic"/>
        </w:rPr>
        <w:t xml:space="preserve">to fund cost impacts to the Shire </w:t>
      </w:r>
      <w:r w:rsidRPr="00E409A8">
        <w:rPr>
          <w:rFonts w:ascii="Century Gothic" w:hAnsi="Century Gothic"/>
        </w:rPr>
        <w:t>of the mining sector.</w:t>
      </w:r>
    </w:p>
    <w:p w14:paraId="6F516679" w14:textId="20D518EF" w:rsidR="00E409A8" w:rsidRDefault="00E409A8" w:rsidP="00687DBC">
      <w:pPr>
        <w:autoSpaceDE w:val="0"/>
        <w:autoSpaceDN w:val="0"/>
        <w:adjustRightInd w:val="0"/>
        <w:spacing w:after="0" w:line="240" w:lineRule="auto"/>
        <w:jc w:val="both"/>
        <w:rPr>
          <w:rFonts w:ascii="Century Gothic" w:hAnsi="Century Gothic" w:cs="Times New Roman"/>
        </w:rPr>
      </w:pPr>
    </w:p>
    <w:p w14:paraId="2A2A4EBC" w14:textId="0757CF04" w:rsidR="00E409A8" w:rsidRPr="00E409A8" w:rsidRDefault="00E409A8" w:rsidP="00687DBC">
      <w:pPr>
        <w:autoSpaceDE w:val="0"/>
        <w:autoSpaceDN w:val="0"/>
        <w:adjustRightInd w:val="0"/>
        <w:spacing w:after="0" w:line="240" w:lineRule="auto"/>
        <w:jc w:val="both"/>
        <w:rPr>
          <w:rFonts w:ascii="Century Gothic" w:hAnsi="Century Gothic" w:cs="Times New Roman"/>
        </w:rPr>
      </w:pPr>
      <w:r w:rsidRPr="00E409A8">
        <w:rPr>
          <w:rFonts w:ascii="Century Gothic" w:hAnsi="Century Gothic"/>
          <w:b/>
          <w:bCs/>
        </w:rPr>
        <w:t xml:space="preserve">REASONS (why the rate differs from other categories): </w:t>
      </w:r>
      <w:r w:rsidRPr="00E409A8">
        <w:rPr>
          <w:rFonts w:ascii="Century Gothic" w:hAnsi="Century Gothic"/>
        </w:rPr>
        <w:t xml:space="preserve">Supports the large investment that the </w:t>
      </w:r>
      <w:r w:rsidR="00584D27">
        <w:rPr>
          <w:rFonts w:ascii="Century Gothic" w:hAnsi="Century Gothic"/>
        </w:rPr>
        <w:t>Shire of Yilgarn</w:t>
      </w:r>
      <w:r w:rsidRPr="00E409A8">
        <w:rPr>
          <w:rFonts w:ascii="Century Gothic" w:hAnsi="Century Gothic"/>
        </w:rPr>
        <w:t xml:space="preserve"> makes in road and road drainage infrastructure to service remote mining activities on rural roads throughout the municipality and reflects the extra maintenance, impacts and frequency that is required to ensure a minimum level of serviceability above that normally required to meet the needs of </w:t>
      </w:r>
      <w:r w:rsidR="00D47022">
        <w:rPr>
          <w:rFonts w:ascii="Century Gothic" w:hAnsi="Century Gothic"/>
        </w:rPr>
        <w:t>farmers</w:t>
      </w:r>
      <w:r w:rsidRPr="00E409A8">
        <w:rPr>
          <w:rFonts w:ascii="Century Gothic" w:hAnsi="Century Gothic"/>
        </w:rPr>
        <w:t xml:space="preserve"> (</w:t>
      </w:r>
      <w:r w:rsidR="00D47022">
        <w:rPr>
          <w:rFonts w:ascii="Century Gothic" w:hAnsi="Century Gothic"/>
        </w:rPr>
        <w:t>Rural UV</w:t>
      </w:r>
      <w:r w:rsidRPr="00E409A8">
        <w:rPr>
          <w:rFonts w:ascii="Century Gothic" w:hAnsi="Century Gothic"/>
        </w:rPr>
        <w:t>). Additional costs associated with monitoring of environmental impacts of clearing, noise, dust and smell.</w:t>
      </w:r>
      <w:r>
        <w:rPr>
          <w:rFonts w:ascii="Century Gothic" w:hAnsi="Century Gothic"/>
        </w:rPr>
        <w:t xml:space="preserve">  </w:t>
      </w:r>
    </w:p>
    <w:p w14:paraId="4301B951" w14:textId="77777777" w:rsidR="00DD6DB9" w:rsidRPr="00515030" w:rsidRDefault="00DD6DB9" w:rsidP="00687DBC">
      <w:pPr>
        <w:autoSpaceDE w:val="0"/>
        <w:autoSpaceDN w:val="0"/>
        <w:adjustRightInd w:val="0"/>
        <w:spacing w:after="0" w:line="240" w:lineRule="auto"/>
        <w:jc w:val="both"/>
        <w:rPr>
          <w:rFonts w:ascii="Century Gothic" w:hAnsi="Century Gothic" w:cs="Times New Roman"/>
        </w:rPr>
      </w:pPr>
    </w:p>
    <w:p w14:paraId="00294957" w14:textId="31ABA635" w:rsidR="0000010E" w:rsidRDefault="0000010E" w:rsidP="0000010E">
      <w:pPr>
        <w:autoSpaceDE w:val="0"/>
        <w:autoSpaceDN w:val="0"/>
        <w:adjustRightInd w:val="0"/>
        <w:spacing w:after="0" w:line="240" w:lineRule="auto"/>
        <w:jc w:val="both"/>
        <w:rPr>
          <w:rFonts w:ascii="Century Gothic" w:hAnsi="Century Gothic" w:cs="Times New Roman"/>
        </w:rPr>
      </w:pPr>
      <w:r>
        <w:rPr>
          <w:rFonts w:ascii="Century Gothic" w:hAnsi="Century Gothic" w:cs="Times New Roman"/>
        </w:rPr>
        <w:t>The proposed rate</w:t>
      </w:r>
      <w:r w:rsidRPr="00515030">
        <w:rPr>
          <w:rFonts w:ascii="Century Gothic" w:hAnsi="Century Gothic" w:cs="Times New Roman"/>
        </w:rPr>
        <w:t xml:space="preserve"> </w:t>
      </w:r>
      <w:r>
        <w:rPr>
          <w:rFonts w:ascii="Century Gothic" w:hAnsi="Century Gothic" w:cs="Times New Roman"/>
        </w:rPr>
        <w:t xml:space="preserve">of </w:t>
      </w:r>
      <w:r w:rsidR="000135E0">
        <w:rPr>
          <w:rFonts w:ascii="Century Gothic" w:hAnsi="Century Gothic" w:cs="Times New Roman"/>
        </w:rPr>
        <w:t>15.</w:t>
      </w:r>
      <w:r w:rsidR="00B218EB">
        <w:rPr>
          <w:rFonts w:ascii="Century Gothic" w:hAnsi="Century Gothic" w:cs="Times New Roman"/>
        </w:rPr>
        <w:t>9734</w:t>
      </w:r>
      <w:r>
        <w:rPr>
          <w:rFonts w:ascii="Century Gothic" w:hAnsi="Century Gothic" w:cs="Times New Roman"/>
        </w:rPr>
        <w:t xml:space="preserve"> cents in the dollar </w:t>
      </w:r>
      <w:r w:rsidRPr="00515030">
        <w:rPr>
          <w:rFonts w:ascii="Century Gothic" w:hAnsi="Century Gothic" w:cs="Times New Roman"/>
        </w:rPr>
        <w:t xml:space="preserve">represents a </w:t>
      </w:r>
      <w:r w:rsidR="00651386">
        <w:rPr>
          <w:rFonts w:ascii="Century Gothic" w:hAnsi="Century Gothic" w:cs="Times New Roman"/>
        </w:rPr>
        <w:t>0.5%</w:t>
      </w:r>
      <w:r w:rsidRPr="00515030">
        <w:rPr>
          <w:rFonts w:ascii="Century Gothic" w:hAnsi="Century Gothic" w:cs="Times New Roman"/>
        </w:rPr>
        <w:t xml:space="preserve"> increase</w:t>
      </w:r>
      <w:r w:rsidRPr="008D7DC0">
        <w:rPr>
          <w:rFonts w:ascii="Century Gothic" w:hAnsi="Century Gothic" w:cs="Times New Roman"/>
        </w:rPr>
        <w:t xml:space="preserve"> </w:t>
      </w:r>
      <w:r>
        <w:rPr>
          <w:rFonts w:ascii="Century Gothic" w:hAnsi="Century Gothic" w:cs="Times New Roman"/>
        </w:rPr>
        <w:t xml:space="preserve">on those imposed in </w:t>
      </w:r>
      <w:r w:rsidR="007959D7">
        <w:rPr>
          <w:rFonts w:ascii="Century Gothic" w:hAnsi="Century Gothic" w:cs="Times New Roman"/>
        </w:rPr>
        <w:t>2021/22</w:t>
      </w:r>
      <w:r w:rsidR="003663FE">
        <w:rPr>
          <w:rFonts w:ascii="Century Gothic" w:hAnsi="Century Gothic" w:cs="Times New Roman"/>
        </w:rPr>
        <w:t>.</w:t>
      </w:r>
    </w:p>
    <w:p w14:paraId="11471AF3" w14:textId="77777777" w:rsidR="00FF458D" w:rsidRPr="00515030" w:rsidRDefault="00FF458D" w:rsidP="00687DBC">
      <w:pPr>
        <w:pStyle w:val="NoSpacing"/>
        <w:rPr>
          <w:rFonts w:ascii="Century Gothic" w:hAnsi="Century Gothic"/>
        </w:rPr>
      </w:pPr>
      <w:bookmarkStart w:id="2" w:name="_Toc420333468"/>
    </w:p>
    <w:p w14:paraId="6FE19B4A" w14:textId="77777777" w:rsidR="00755E04" w:rsidRPr="00DE1CE4" w:rsidRDefault="00755E04" w:rsidP="00755E04">
      <w:pPr>
        <w:pStyle w:val="Heading2"/>
        <w:rPr>
          <w:rFonts w:ascii="Century Gothic" w:hAnsi="Century Gothic" w:cs="Times New Roman"/>
          <w:color w:val="365F91" w:themeColor="accent1" w:themeShade="BF"/>
          <w:sz w:val="22"/>
          <w:szCs w:val="22"/>
          <w:u w:val="single"/>
        </w:rPr>
      </w:pPr>
      <w:r w:rsidRPr="00DE1CE4">
        <w:rPr>
          <w:rFonts w:ascii="Century Gothic" w:hAnsi="Century Gothic" w:cs="Times New Roman"/>
          <w:color w:val="365F91" w:themeColor="accent1" w:themeShade="BF"/>
          <w:sz w:val="22"/>
          <w:szCs w:val="22"/>
          <w:u w:val="single"/>
        </w:rPr>
        <w:t>Category 4 – Single Persons Quarters (SPQ) GRV</w:t>
      </w:r>
      <w:bookmarkEnd w:id="2"/>
    </w:p>
    <w:p w14:paraId="3D0F5CDF" w14:textId="43F8828E" w:rsidR="00755E04" w:rsidRPr="00515030" w:rsidRDefault="00755E04" w:rsidP="00687DBC">
      <w:pPr>
        <w:autoSpaceDE w:val="0"/>
        <w:autoSpaceDN w:val="0"/>
        <w:adjustRightInd w:val="0"/>
        <w:spacing w:after="0" w:line="240" w:lineRule="auto"/>
        <w:jc w:val="both"/>
        <w:rPr>
          <w:rFonts w:ascii="Century Gothic" w:hAnsi="Century Gothic" w:cs="Times New Roman"/>
        </w:rPr>
      </w:pPr>
      <w:r w:rsidRPr="00515030">
        <w:rPr>
          <w:rFonts w:ascii="Century Gothic" w:hAnsi="Century Gothic" w:cs="Times New Roman"/>
        </w:rPr>
        <w:t>The S</w:t>
      </w:r>
      <w:r w:rsidR="00DE1CE4">
        <w:rPr>
          <w:rFonts w:ascii="Century Gothic" w:hAnsi="Century Gothic" w:cs="Times New Roman"/>
        </w:rPr>
        <w:t xml:space="preserve">ingle </w:t>
      </w:r>
      <w:r w:rsidRPr="00515030">
        <w:rPr>
          <w:rFonts w:ascii="Century Gothic" w:hAnsi="Century Gothic" w:cs="Times New Roman"/>
        </w:rPr>
        <w:t>P</w:t>
      </w:r>
      <w:r w:rsidR="00DE1CE4">
        <w:rPr>
          <w:rFonts w:ascii="Century Gothic" w:hAnsi="Century Gothic" w:cs="Times New Roman"/>
        </w:rPr>
        <w:t xml:space="preserve">ersons </w:t>
      </w:r>
      <w:r w:rsidRPr="00515030">
        <w:rPr>
          <w:rFonts w:ascii="Century Gothic" w:hAnsi="Century Gothic" w:cs="Times New Roman"/>
        </w:rPr>
        <w:t>Q</w:t>
      </w:r>
      <w:r w:rsidR="00DE1CE4">
        <w:rPr>
          <w:rFonts w:ascii="Century Gothic" w:hAnsi="Century Gothic" w:cs="Times New Roman"/>
        </w:rPr>
        <w:t>uarters (SPQ)</w:t>
      </w:r>
      <w:r w:rsidRPr="00515030">
        <w:rPr>
          <w:rFonts w:ascii="Century Gothic" w:hAnsi="Century Gothic" w:cs="Times New Roman"/>
        </w:rPr>
        <w:t xml:space="preserve"> GRV rate</w:t>
      </w:r>
      <w:r w:rsidR="0000010E">
        <w:rPr>
          <w:rFonts w:ascii="Century Gothic" w:hAnsi="Century Gothic" w:cs="Times New Roman"/>
        </w:rPr>
        <w:t xml:space="preserve"> category</w:t>
      </w:r>
      <w:r w:rsidRPr="00515030">
        <w:rPr>
          <w:rFonts w:ascii="Century Gothic" w:hAnsi="Century Gothic" w:cs="Times New Roman"/>
        </w:rPr>
        <w:t xml:space="preserve"> is levied on properties with a transient workforce accommodation land use. </w:t>
      </w:r>
    </w:p>
    <w:p w14:paraId="116A9B93" w14:textId="2FB55F9F" w:rsidR="00755E04" w:rsidRDefault="00755E04" w:rsidP="00687DBC">
      <w:pPr>
        <w:autoSpaceDE w:val="0"/>
        <w:autoSpaceDN w:val="0"/>
        <w:adjustRightInd w:val="0"/>
        <w:spacing w:after="0" w:line="240" w:lineRule="auto"/>
        <w:jc w:val="both"/>
        <w:rPr>
          <w:rFonts w:ascii="Century Gothic" w:hAnsi="Century Gothic" w:cs="Times New Roman"/>
        </w:rPr>
      </w:pPr>
    </w:p>
    <w:p w14:paraId="54C1309A" w14:textId="4A535578" w:rsidR="0000010E" w:rsidRPr="0000010E" w:rsidRDefault="0000010E" w:rsidP="0000010E">
      <w:pPr>
        <w:autoSpaceDE w:val="0"/>
        <w:autoSpaceDN w:val="0"/>
        <w:adjustRightInd w:val="0"/>
        <w:spacing w:after="0" w:line="240" w:lineRule="auto"/>
        <w:jc w:val="both"/>
        <w:rPr>
          <w:rFonts w:ascii="Century Gothic" w:hAnsi="Century Gothic" w:cs="Calibri"/>
          <w:color w:val="000000"/>
        </w:rPr>
      </w:pPr>
      <w:r w:rsidRPr="0000010E">
        <w:rPr>
          <w:rFonts w:ascii="Century Gothic" w:hAnsi="Century Gothic" w:cs="Calibri"/>
          <w:b/>
          <w:bCs/>
          <w:color w:val="000000"/>
        </w:rPr>
        <w:t xml:space="preserve">OBJECT: </w:t>
      </w:r>
      <w:r w:rsidRPr="0000010E">
        <w:rPr>
          <w:rFonts w:ascii="Century Gothic" w:hAnsi="Century Gothic" w:cs="Calibri"/>
          <w:color w:val="000000"/>
        </w:rPr>
        <w:t xml:space="preserve">The object of this differential rate is to ensure that non-residential workers who spend a significant portion of the year in </w:t>
      </w:r>
      <w:r w:rsidR="0041230A">
        <w:rPr>
          <w:rFonts w:ascii="Century Gothic" w:hAnsi="Century Gothic" w:cs="Calibri"/>
          <w:color w:val="000000"/>
        </w:rPr>
        <w:t>the Shire</w:t>
      </w:r>
      <w:r w:rsidRPr="0000010E">
        <w:rPr>
          <w:rFonts w:ascii="Century Gothic" w:hAnsi="Century Gothic" w:cs="Calibri"/>
          <w:color w:val="000000"/>
        </w:rPr>
        <w:t xml:space="preserve"> contribute to services and facilities within the community.</w:t>
      </w:r>
    </w:p>
    <w:p w14:paraId="07A0BDC8" w14:textId="77777777" w:rsidR="0000010E" w:rsidRPr="0000010E" w:rsidRDefault="0000010E" w:rsidP="0000010E">
      <w:pPr>
        <w:autoSpaceDE w:val="0"/>
        <w:autoSpaceDN w:val="0"/>
        <w:adjustRightInd w:val="0"/>
        <w:spacing w:after="0" w:line="240" w:lineRule="auto"/>
        <w:jc w:val="both"/>
        <w:rPr>
          <w:rFonts w:ascii="Century Gothic" w:hAnsi="Century Gothic" w:cs="Calibri"/>
          <w:color w:val="000000"/>
        </w:rPr>
      </w:pPr>
    </w:p>
    <w:p w14:paraId="12726BA6" w14:textId="7A02B0F6" w:rsidR="0000010E" w:rsidRDefault="0000010E" w:rsidP="0000010E">
      <w:pPr>
        <w:autoSpaceDE w:val="0"/>
        <w:autoSpaceDN w:val="0"/>
        <w:adjustRightInd w:val="0"/>
        <w:spacing w:after="0" w:line="240" w:lineRule="auto"/>
        <w:jc w:val="both"/>
        <w:rPr>
          <w:rFonts w:ascii="Century Gothic" w:hAnsi="Century Gothic" w:cs="Calibri"/>
          <w:color w:val="000000"/>
        </w:rPr>
      </w:pPr>
      <w:r w:rsidRPr="0000010E">
        <w:rPr>
          <w:rFonts w:ascii="Century Gothic" w:hAnsi="Century Gothic" w:cs="Calibri"/>
          <w:b/>
          <w:bCs/>
          <w:color w:val="000000"/>
        </w:rPr>
        <w:t xml:space="preserve">REASONS (why the rate differs from other categories): </w:t>
      </w:r>
      <w:r w:rsidRPr="0000010E">
        <w:rPr>
          <w:rFonts w:ascii="Century Gothic" w:hAnsi="Century Gothic" w:cs="Calibri"/>
          <w:color w:val="000000"/>
        </w:rPr>
        <w:t xml:space="preserve">Patrons and employees of these premises are consumers of services and facilities, however unless they are also property owners within the Town, they are not contributing to the costs of providing the services and facilities. Mass Accommodation properties have the potential to have a greater impact on Council services/assets than other properties due to their number of occupants in a relatively small land parcel. </w:t>
      </w:r>
    </w:p>
    <w:p w14:paraId="544BBB70" w14:textId="77777777" w:rsidR="0041230A" w:rsidRPr="0000010E" w:rsidRDefault="0041230A" w:rsidP="0000010E">
      <w:pPr>
        <w:autoSpaceDE w:val="0"/>
        <w:autoSpaceDN w:val="0"/>
        <w:adjustRightInd w:val="0"/>
        <w:spacing w:after="0" w:line="240" w:lineRule="auto"/>
        <w:jc w:val="both"/>
        <w:rPr>
          <w:rFonts w:ascii="Century Gothic" w:hAnsi="Century Gothic" w:cs="Calibri"/>
          <w:color w:val="000000"/>
        </w:rPr>
      </w:pPr>
    </w:p>
    <w:p w14:paraId="5C222F07" w14:textId="4A9881C4" w:rsidR="0000010E" w:rsidRPr="0000010E" w:rsidRDefault="0000010E" w:rsidP="0000010E">
      <w:pPr>
        <w:autoSpaceDE w:val="0"/>
        <w:autoSpaceDN w:val="0"/>
        <w:adjustRightInd w:val="0"/>
        <w:spacing w:after="0" w:line="240" w:lineRule="auto"/>
        <w:jc w:val="both"/>
        <w:rPr>
          <w:rFonts w:ascii="Century Gothic" w:hAnsi="Century Gothic" w:cs="Times New Roman"/>
        </w:rPr>
      </w:pPr>
      <w:r w:rsidRPr="0000010E">
        <w:rPr>
          <w:rFonts w:ascii="Century Gothic" w:hAnsi="Century Gothic" w:cs="Calibri"/>
          <w:color w:val="000000"/>
        </w:rPr>
        <w:t>This differential rate is intended to maintain the relativity comparative to residential rates and provides an average rate per accommodation unit of less than Council’s proposed minimum payment.</w:t>
      </w:r>
    </w:p>
    <w:p w14:paraId="5EDA47AD" w14:textId="44E95916" w:rsidR="0000010E" w:rsidRDefault="0000010E" w:rsidP="00687DBC">
      <w:pPr>
        <w:autoSpaceDE w:val="0"/>
        <w:autoSpaceDN w:val="0"/>
        <w:adjustRightInd w:val="0"/>
        <w:spacing w:after="0" w:line="240" w:lineRule="auto"/>
        <w:jc w:val="both"/>
        <w:rPr>
          <w:rFonts w:ascii="Century Gothic" w:hAnsi="Century Gothic" w:cs="Times New Roman"/>
        </w:rPr>
      </w:pPr>
    </w:p>
    <w:p w14:paraId="064A75FB" w14:textId="15C092F6" w:rsidR="0041230A" w:rsidRDefault="0041230A" w:rsidP="0041230A">
      <w:pPr>
        <w:autoSpaceDE w:val="0"/>
        <w:autoSpaceDN w:val="0"/>
        <w:adjustRightInd w:val="0"/>
        <w:spacing w:after="0" w:line="240" w:lineRule="auto"/>
        <w:jc w:val="both"/>
        <w:rPr>
          <w:rFonts w:ascii="Century Gothic" w:hAnsi="Century Gothic" w:cs="Times New Roman"/>
        </w:rPr>
      </w:pPr>
      <w:r>
        <w:rPr>
          <w:rFonts w:ascii="Century Gothic" w:hAnsi="Century Gothic" w:cs="Times New Roman"/>
        </w:rPr>
        <w:t>The proposed rate</w:t>
      </w:r>
      <w:r w:rsidRPr="00515030">
        <w:rPr>
          <w:rFonts w:ascii="Century Gothic" w:hAnsi="Century Gothic" w:cs="Times New Roman"/>
        </w:rPr>
        <w:t xml:space="preserve"> </w:t>
      </w:r>
      <w:r>
        <w:rPr>
          <w:rFonts w:ascii="Century Gothic" w:hAnsi="Century Gothic" w:cs="Times New Roman"/>
        </w:rPr>
        <w:t xml:space="preserve">of </w:t>
      </w:r>
      <w:r w:rsidR="000135E0">
        <w:rPr>
          <w:rFonts w:ascii="Century Gothic" w:hAnsi="Century Gothic" w:cs="Times New Roman"/>
        </w:rPr>
        <w:t>15.</w:t>
      </w:r>
      <w:r w:rsidR="00B218EB">
        <w:rPr>
          <w:rFonts w:ascii="Century Gothic" w:hAnsi="Century Gothic" w:cs="Times New Roman"/>
        </w:rPr>
        <w:t>9734</w:t>
      </w:r>
      <w:r>
        <w:rPr>
          <w:rFonts w:ascii="Century Gothic" w:hAnsi="Century Gothic" w:cs="Times New Roman"/>
        </w:rPr>
        <w:t xml:space="preserve"> cents in the dollar </w:t>
      </w:r>
      <w:r w:rsidRPr="00515030">
        <w:rPr>
          <w:rFonts w:ascii="Century Gothic" w:hAnsi="Century Gothic" w:cs="Times New Roman"/>
        </w:rPr>
        <w:t xml:space="preserve">represents a </w:t>
      </w:r>
      <w:r w:rsidR="00651386">
        <w:rPr>
          <w:rFonts w:ascii="Century Gothic" w:hAnsi="Century Gothic" w:cs="Times New Roman"/>
        </w:rPr>
        <w:t>0.5%</w:t>
      </w:r>
      <w:r w:rsidRPr="00515030">
        <w:rPr>
          <w:rFonts w:ascii="Century Gothic" w:hAnsi="Century Gothic" w:cs="Times New Roman"/>
        </w:rPr>
        <w:t xml:space="preserve"> increase</w:t>
      </w:r>
      <w:r w:rsidRPr="008D7DC0">
        <w:rPr>
          <w:rFonts w:ascii="Century Gothic" w:hAnsi="Century Gothic" w:cs="Times New Roman"/>
        </w:rPr>
        <w:t xml:space="preserve"> </w:t>
      </w:r>
      <w:r>
        <w:rPr>
          <w:rFonts w:ascii="Century Gothic" w:hAnsi="Century Gothic" w:cs="Times New Roman"/>
        </w:rPr>
        <w:t xml:space="preserve">on those imposed in </w:t>
      </w:r>
      <w:r w:rsidR="007959D7">
        <w:rPr>
          <w:rFonts w:ascii="Century Gothic" w:hAnsi="Century Gothic" w:cs="Times New Roman"/>
        </w:rPr>
        <w:t>2021/22</w:t>
      </w:r>
      <w:r w:rsidR="00651386">
        <w:rPr>
          <w:rFonts w:ascii="Century Gothic" w:hAnsi="Century Gothic" w:cs="Times New Roman"/>
        </w:rPr>
        <w:t>.</w:t>
      </w:r>
    </w:p>
    <w:p w14:paraId="285D8F7B" w14:textId="28563588" w:rsidR="0041230A" w:rsidRDefault="0041230A" w:rsidP="0041230A">
      <w:pPr>
        <w:autoSpaceDE w:val="0"/>
        <w:autoSpaceDN w:val="0"/>
        <w:adjustRightInd w:val="0"/>
        <w:spacing w:after="0" w:line="240" w:lineRule="auto"/>
        <w:jc w:val="both"/>
        <w:rPr>
          <w:rFonts w:ascii="Century Gothic" w:hAnsi="Century Gothic" w:cs="Times New Roman"/>
        </w:rPr>
      </w:pPr>
    </w:p>
    <w:p w14:paraId="17942416" w14:textId="2986EC76" w:rsidR="0041230A" w:rsidRPr="0041230A" w:rsidRDefault="0041230A" w:rsidP="0041230A">
      <w:pPr>
        <w:autoSpaceDE w:val="0"/>
        <w:autoSpaceDN w:val="0"/>
        <w:adjustRightInd w:val="0"/>
        <w:spacing w:after="0" w:line="240" w:lineRule="auto"/>
        <w:jc w:val="both"/>
        <w:rPr>
          <w:rFonts w:ascii="Century Gothic" w:hAnsi="Century Gothic" w:cs="Calibri"/>
          <w:color w:val="000000"/>
        </w:rPr>
      </w:pPr>
      <w:r w:rsidRPr="0041230A">
        <w:rPr>
          <w:rFonts w:ascii="Century Gothic" w:hAnsi="Century Gothic" w:cs="Calibri"/>
          <w:color w:val="000000"/>
        </w:rPr>
        <w:t xml:space="preserve">Although not submitted as rationale for the basis of the above rate in the dollar, nor rates proposed to be levied, it should be stated that Council remains committed to a philosophy that the operational workforce(s) associated with resource interests centralised </w:t>
      </w:r>
      <w:r>
        <w:rPr>
          <w:rFonts w:ascii="Century Gothic" w:hAnsi="Century Gothic" w:cs="Calibri"/>
          <w:color w:val="000000"/>
        </w:rPr>
        <w:t xml:space="preserve">around mining, construction and </w:t>
      </w:r>
      <w:r w:rsidRPr="0041230A">
        <w:rPr>
          <w:rFonts w:ascii="Century Gothic" w:hAnsi="Century Gothic" w:cs="Calibri"/>
          <w:color w:val="000000"/>
        </w:rPr>
        <w:t xml:space="preserve">maintenance should be housed in normal residential properties within the town boundaries. </w:t>
      </w:r>
    </w:p>
    <w:p w14:paraId="29390FA6" w14:textId="77777777" w:rsidR="0041230A" w:rsidRPr="0041230A" w:rsidRDefault="0041230A" w:rsidP="0041230A">
      <w:pPr>
        <w:autoSpaceDE w:val="0"/>
        <w:autoSpaceDN w:val="0"/>
        <w:adjustRightInd w:val="0"/>
        <w:spacing w:after="0" w:line="240" w:lineRule="auto"/>
        <w:rPr>
          <w:rFonts w:ascii="Calibri" w:hAnsi="Calibri" w:cs="Calibri"/>
          <w:sz w:val="24"/>
          <w:szCs w:val="24"/>
        </w:rPr>
      </w:pPr>
    </w:p>
    <w:p w14:paraId="119C28FB" w14:textId="51D27CB5" w:rsidR="0041230A" w:rsidRPr="0041230A" w:rsidRDefault="0041230A" w:rsidP="0041230A">
      <w:pPr>
        <w:autoSpaceDE w:val="0"/>
        <w:autoSpaceDN w:val="0"/>
        <w:adjustRightInd w:val="0"/>
        <w:spacing w:after="0" w:line="240" w:lineRule="auto"/>
        <w:jc w:val="both"/>
        <w:rPr>
          <w:rFonts w:ascii="Century Gothic" w:hAnsi="Century Gothic" w:cs="Times New Roman"/>
        </w:rPr>
      </w:pPr>
      <w:r w:rsidRPr="0041230A">
        <w:rPr>
          <w:rFonts w:ascii="Century Gothic" w:hAnsi="Century Gothic" w:cs="Calibri"/>
          <w:color w:val="000000"/>
        </w:rPr>
        <w:t>It is</w:t>
      </w:r>
      <w:r>
        <w:rPr>
          <w:rFonts w:ascii="Century Gothic" w:hAnsi="Century Gothic" w:cs="Calibri"/>
          <w:color w:val="000000"/>
        </w:rPr>
        <w:t xml:space="preserve"> only through this that the Shire </w:t>
      </w:r>
      <w:r w:rsidRPr="0041230A">
        <w:rPr>
          <w:rFonts w:ascii="Century Gothic" w:hAnsi="Century Gothic" w:cs="Calibri"/>
          <w:color w:val="000000"/>
        </w:rPr>
        <w:t>benefits from an integrated and normalised residential workforce and thereafter the community and society benefit from greater participation in community activities, including sporting and cultural bodies, and higher participation rates in volunteerism and sport.</w:t>
      </w:r>
      <w:r>
        <w:rPr>
          <w:rFonts w:ascii="Century Gothic" w:hAnsi="Century Gothic" w:cs="Calibri"/>
          <w:color w:val="000000"/>
        </w:rPr>
        <w:t xml:space="preserve">  Additionally, a residential workforce will mean greater utilisation of State and Federal Government facilities and services such as education, health and social services le</w:t>
      </w:r>
      <w:r w:rsidR="000135E0">
        <w:rPr>
          <w:rFonts w:ascii="Century Gothic" w:hAnsi="Century Gothic" w:cs="Calibri"/>
          <w:color w:val="000000"/>
        </w:rPr>
        <w:t>ading to increased</w:t>
      </w:r>
      <w:r>
        <w:rPr>
          <w:rFonts w:ascii="Century Gothic" w:hAnsi="Century Gothic" w:cs="Calibri"/>
          <w:color w:val="000000"/>
        </w:rPr>
        <w:t xml:space="preserve"> </w:t>
      </w:r>
      <w:r w:rsidR="000135E0">
        <w:rPr>
          <w:rFonts w:ascii="Century Gothic" w:hAnsi="Century Gothic" w:cs="Calibri"/>
          <w:color w:val="000000"/>
        </w:rPr>
        <w:t>service viability.</w:t>
      </w:r>
    </w:p>
    <w:p w14:paraId="4BBAE846" w14:textId="56CE6655" w:rsidR="0041230A" w:rsidRDefault="0041230A" w:rsidP="0041230A">
      <w:pPr>
        <w:autoSpaceDE w:val="0"/>
        <w:autoSpaceDN w:val="0"/>
        <w:adjustRightInd w:val="0"/>
        <w:spacing w:after="0" w:line="240" w:lineRule="auto"/>
        <w:jc w:val="both"/>
        <w:rPr>
          <w:rFonts w:ascii="Century Gothic" w:hAnsi="Century Gothic" w:cs="Times New Roman"/>
        </w:rPr>
      </w:pPr>
    </w:p>
    <w:p w14:paraId="51F5240A" w14:textId="447480A7" w:rsidR="0000010E" w:rsidRDefault="0000010E" w:rsidP="00687DBC">
      <w:pPr>
        <w:autoSpaceDE w:val="0"/>
        <w:autoSpaceDN w:val="0"/>
        <w:adjustRightInd w:val="0"/>
        <w:spacing w:after="0" w:line="240" w:lineRule="auto"/>
        <w:jc w:val="both"/>
        <w:rPr>
          <w:rFonts w:ascii="Century Gothic" w:hAnsi="Century Gothic" w:cs="Times New Roman"/>
        </w:rPr>
      </w:pPr>
    </w:p>
    <w:p w14:paraId="45E01F21" w14:textId="77777777" w:rsidR="00DD6DB9" w:rsidRPr="00515030" w:rsidRDefault="00FF458D" w:rsidP="00687DBC">
      <w:pPr>
        <w:spacing w:after="0"/>
        <w:rPr>
          <w:rFonts w:ascii="Century Gothic" w:hAnsi="Century Gothic" w:cs="Times New Roman"/>
          <w:b/>
          <w:bCs/>
          <w:color w:val="365F91" w:themeColor="accent1" w:themeShade="BF"/>
          <w:sz w:val="28"/>
          <w:szCs w:val="28"/>
        </w:rPr>
      </w:pPr>
      <w:r w:rsidRPr="00515030">
        <w:rPr>
          <w:rFonts w:ascii="Century Gothic" w:hAnsi="Century Gothic" w:cs="Times New Roman"/>
          <w:b/>
          <w:bCs/>
          <w:color w:val="365F91" w:themeColor="accent1" w:themeShade="BF"/>
          <w:sz w:val="28"/>
          <w:szCs w:val="28"/>
        </w:rPr>
        <w:t>UV – Unimproved Value</w:t>
      </w:r>
    </w:p>
    <w:p w14:paraId="4216FEF1" w14:textId="77777777" w:rsidR="00017197" w:rsidRPr="00515030" w:rsidRDefault="00017197" w:rsidP="00017197">
      <w:pPr>
        <w:pStyle w:val="Heading2"/>
        <w:spacing w:before="0"/>
        <w:rPr>
          <w:rFonts w:ascii="Century Gothic" w:hAnsi="Century Gothic" w:cs="Times New Roman"/>
          <w:color w:val="365F91" w:themeColor="accent1" w:themeShade="BF"/>
          <w:sz w:val="22"/>
          <w:szCs w:val="22"/>
        </w:rPr>
      </w:pPr>
    </w:p>
    <w:p w14:paraId="073F481C" w14:textId="77777777" w:rsidR="00017197" w:rsidRPr="00DE1CE4" w:rsidRDefault="00017197" w:rsidP="00017197">
      <w:pPr>
        <w:pStyle w:val="Heading2"/>
        <w:spacing w:before="0"/>
        <w:rPr>
          <w:rFonts w:ascii="Century Gothic" w:hAnsi="Century Gothic" w:cs="Times New Roman"/>
          <w:color w:val="365F91" w:themeColor="accent1" w:themeShade="BF"/>
          <w:sz w:val="22"/>
          <w:szCs w:val="22"/>
          <w:u w:val="single"/>
        </w:rPr>
      </w:pPr>
      <w:r w:rsidRPr="00DE1CE4">
        <w:rPr>
          <w:rFonts w:ascii="Century Gothic" w:hAnsi="Century Gothic" w:cs="Times New Roman"/>
          <w:color w:val="365F91" w:themeColor="accent1" w:themeShade="BF"/>
          <w:sz w:val="22"/>
          <w:szCs w:val="22"/>
          <w:u w:val="single"/>
        </w:rPr>
        <w:t>Category 5 - Rural UV</w:t>
      </w:r>
    </w:p>
    <w:p w14:paraId="21BE0482" w14:textId="626C9C06" w:rsidR="00017197" w:rsidRPr="00515030" w:rsidRDefault="00D47022" w:rsidP="00687DBC">
      <w:pPr>
        <w:autoSpaceDE w:val="0"/>
        <w:autoSpaceDN w:val="0"/>
        <w:adjustRightInd w:val="0"/>
        <w:spacing w:after="0" w:line="240" w:lineRule="auto"/>
        <w:jc w:val="both"/>
        <w:rPr>
          <w:rFonts w:ascii="Century Gothic" w:hAnsi="Century Gothic" w:cs="Times New Roman"/>
        </w:rPr>
      </w:pPr>
      <w:r>
        <w:rPr>
          <w:rFonts w:ascii="Century Gothic" w:hAnsi="Century Gothic" w:cs="Times New Roman"/>
        </w:rPr>
        <w:t xml:space="preserve">The Rural UV rate </w:t>
      </w:r>
      <w:r w:rsidR="00017197" w:rsidRPr="00515030">
        <w:rPr>
          <w:rFonts w:ascii="Century Gothic" w:hAnsi="Century Gothic" w:cs="Times New Roman"/>
        </w:rPr>
        <w:t>category is applied to all rural properties which do not fall i</w:t>
      </w:r>
      <w:r w:rsidR="000135E0">
        <w:rPr>
          <w:rFonts w:ascii="Century Gothic" w:hAnsi="Century Gothic" w:cs="Times New Roman"/>
        </w:rPr>
        <w:t>nto one of the other categories</w:t>
      </w:r>
      <w:r w:rsidR="00017197" w:rsidRPr="00515030">
        <w:rPr>
          <w:rFonts w:ascii="Century Gothic" w:hAnsi="Century Gothic" w:cs="Times New Roman"/>
        </w:rPr>
        <w:t>. The valuations of UV properties are reviewed on an annual basis by Landgate.</w:t>
      </w:r>
    </w:p>
    <w:p w14:paraId="11BFBAC2" w14:textId="13070632" w:rsidR="00017197" w:rsidRDefault="00017197" w:rsidP="00687DBC">
      <w:pPr>
        <w:autoSpaceDE w:val="0"/>
        <w:autoSpaceDN w:val="0"/>
        <w:adjustRightInd w:val="0"/>
        <w:spacing w:after="0" w:line="240" w:lineRule="auto"/>
        <w:jc w:val="both"/>
        <w:rPr>
          <w:rFonts w:ascii="Century Gothic" w:hAnsi="Century Gothic" w:cs="Times New Roman"/>
        </w:rPr>
      </w:pPr>
    </w:p>
    <w:p w14:paraId="0F8568DC" w14:textId="7056C2BE" w:rsidR="000135E0" w:rsidRPr="000135E0" w:rsidRDefault="000135E0" w:rsidP="00687DBC">
      <w:pPr>
        <w:autoSpaceDE w:val="0"/>
        <w:autoSpaceDN w:val="0"/>
        <w:adjustRightInd w:val="0"/>
        <w:spacing w:after="0" w:line="240" w:lineRule="auto"/>
        <w:jc w:val="both"/>
        <w:rPr>
          <w:rFonts w:ascii="Century Gothic" w:hAnsi="Century Gothic" w:cs="Times New Roman"/>
        </w:rPr>
      </w:pPr>
      <w:r w:rsidRPr="000135E0">
        <w:rPr>
          <w:rFonts w:ascii="Century Gothic" w:hAnsi="Century Gothic"/>
          <w:b/>
          <w:bCs/>
        </w:rPr>
        <w:t xml:space="preserve">OBJECT: </w:t>
      </w:r>
      <w:r w:rsidRPr="000135E0">
        <w:rPr>
          <w:rFonts w:ascii="Century Gothic" w:hAnsi="Century Gothic"/>
        </w:rPr>
        <w:t>The object of this differential rate is to be the base rate by which all other UV rated properties are assessed.</w:t>
      </w:r>
    </w:p>
    <w:p w14:paraId="08599932" w14:textId="15F054F8" w:rsidR="000135E0" w:rsidRDefault="000135E0" w:rsidP="00687DBC">
      <w:pPr>
        <w:autoSpaceDE w:val="0"/>
        <w:autoSpaceDN w:val="0"/>
        <w:adjustRightInd w:val="0"/>
        <w:spacing w:after="0" w:line="240" w:lineRule="auto"/>
        <w:jc w:val="both"/>
        <w:rPr>
          <w:rFonts w:ascii="Century Gothic" w:hAnsi="Century Gothic" w:cs="Times New Roman"/>
        </w:rPr>
      </w:pPr>
    </w:p>
    <w:p w14:paraId="3FF87AAC" w14:textId="68663162" w:rsidR="000135E0" w:rsidRPr="000135E0" w:rsidRDefault="000135E0" w:rsidP="00687DBC">
      <w:pPr>
        <w:autoSpaceDE w:val="0"/>
        <w:autoSpaceDN w:val="0"/>
        <w:adjustRightInd w:val="0"/>
        <w:spacing w:after="0" w:line="240" w:lineRule="auto"/>
        <w:jc w:val="both"/>
        <w:rPr>
          <w:rFonts w:ascii="Century Gothic" w:hAnsi="Century Gothic" w:cs="Times New Roman"/>
        </w:rPr>
      </w:pPr>
      <w:r w:rsidRPr="000135E0">
        <w:rPr>
          <w:rFonts w:ascii="Century Gothic" w:hAnsi="Century Gothic"/>
          <w:b/>
          <w:bCs/>
        </w:rPr>
        <w:t xml:space="preserve">REASONS (why the rate differs from other categories): </w:t>
      </w:r>
      <w:r w:rsidRPr="000135E0">
        <w:rPr>
          <w:rFonts w:ascii="Century Gothic" w:hAnsi="Century Gothic"/>
        </w:rPr>
        <w:t>Raise revenue to provide for rural infrastructure and services in addition to the Town services, facilities and infrastructure which are available to be accessed by the prope</w:t>
      </w:r>
      <w:r>
        <w:rPr>
          <w:rFonts w:ascii="Century Gothic" w:hAnsi="Century Gothic"/>
        </w:rPr>
        <w:t>rties in this category. The Shire</w:t>
      </w:r>
      <w:r w:rsidRPr="000135E0">
        <w:rPr>
          <w:rFonts w:ascii="Century Gothic" w:hAnsi="Century Gothic"/>
        </w:rPr>
        <w:t xml:space="preserve"> has a continuing focus on development</w:t>
      </w:r>
      <w:r>
        <w:rPr>
          <w:rFonts w:ascii="Century Gothic" w:hAnsi="Century Gothic"/>
        </w:rPr>
        <w:t xml:space="preserve"> and diversification of agricultural p</w:t>
      </w:r>
      <w:r w:rsidRPr="000135E0">
        <w:rPr>
          <w:rFonts w:ascii="Century Gothic" w:hAnsi="Century Gothic"/>
        </w:rPr>
        <w:t xml:space="preserve">roperties in the Region, encouraging development of tourism and </w:t>
      </w:r>
      <w:r>
        <w:rPr>
          <w:rFonts w:ascii="Century Gothic" w:hAnsi="Century Gothic"/>
        </w:rPr>
        <w:t>land care</w:t>
      </w:r>
      <w:r w:rsidRPr="000135E0">
        <w:rPr>
          <w:rFonts w:ascii="Century Gothic" w:hAnsi="Century Gothic"/>
        </w:rPr>
        <w:t xml:space="preserve"> activities to further diversify the local economy from the effects of the downturns associated with mining activity.</w:t>
      </w:r>
    </w:p>
    <w:p w14:paraId="63F483E0" w14:textId="36742761" w:rsidR="000135E0" w:rsidRDefault="000135E0" w:rsidP="00687DBC">
      <w:pPr>
        <w:autoSpaceDE w:val="0"/>
        <w:autoSpaceDN w:val="0"/>
        <w:adjustRightInd w:val="0"/>
        <w:spacing w:after="0" w:line="240" w:lineRule="auto"/>
        <w:jc w:val="both"/>
        <w:rPr>
          <w:rFonts w:ascii="Century Gothic" w:hAnsi="Century Gothic" w:cs="Times New Roman"/>
        </w:rPr>
      </w:pPr>
    </w:p>
    <w:p w14:paraId="619189AC" w14:textId="23D39D5D" w:rsidR="000135E0" w:rsidRDefault="000135E0" w:rsidP="000135E0">
      <w:pPr>
        <w:autoSpaceDE w:val="0"/>
        <w:autoSpaceDN w:val="0"/>
        <w:adjustRightInd w:val="0"/>
        <w:spacing w:after="0" w:line="240" w:lineRule="auto"/>
        <w:jc w:val="both"/>
        <w:rPr>
          <w:rFonts w:ascii="Century Gothic" w:hAnsi="Century Gothic" w:cs="Times New Roman"/>
        </w:rPr>
      </w:pPr>
      <w:r>
        <w:rPr>
          <w:rFonts w:ascii="Century Gothic" w:hAnsi="Century Gothic" w:cs="Times New Roman"/>
        </w:rPr>
        <w:t>The proposed rate</w:t>
      </w:r>
      <w:r w:rsidRPr="00515030">
        <w:rPr>
          <w:rFonts w:ascii="Century Gothic" w:hAnsi="Century Gothic" w:cs="Times New Roman"/>
        </w:rPr>
        <w:t xml:space="preserve"> </w:t>
      </w:r>
      <w:r>
        <w:rPr>
          <w:rFonts w:ascii="Century Gothic" w:hAnsi="Century Gothic" w:cs="Times New Roman"/>
        </w:rPr>
        <w:t>of 1.7</w:t>
      </w:r>
      <w:r w:rsidR="00B218EB">
        <w:rPr>
          <w:rFonts w:ascii="Century Gothic" w:hAnsi="Century Gothic" w:cs="Times New Roman"/>
        </w:rPr>
        <w:t>751</w:t>
      </w:r>
      <w:r>
        <w:rPr>
          <w:rFonts w:ascii="Century Gothic" w:hAnsi="Century Gothic" w:cs="Times New Roman"/>
        </w:rPr>
        <w:t xml:space="preserve"> cents in the dollar </w:t>
      </w:r>
      <w:r w:rsidRPr="00515030">
        <w:rPr>
          <w:rFonts w:ascii="Century Gothic" w:hAnsi="Century Gothic" w:cs="Times New Roman"/>
        </w:rPr>
        <w:t xml:space="preserve">represents a </w:t>
      </w:r>
      <w:r w:rsidR="00651386">
        <w:rPr>
          <w:rFonts w:ascii="Century Gothic" w:hAnsi="Century Gothic" w:cs="Times New Roman"/>
        </w:rPr>
        <w:t>0.5%</w:t>
      </w:r>
      <w:r w:rsidRPr="00515030">
        <w:rPr>
          <w:rFonts w:ascii="Century Gothic" w:hAnsi="Century Gothic" w:cs="Times New Roman"/>
        </w:rPr>
        <w:t xml:space="preserve"> increase</w:t>
      </w:r>
      <w:r w:rsidRPr="008D7DC0">
        <w:rPr>
          <w:rFonts w:ascii="Century Gothic" w:hAnsi="Century Gothic" w:cs="Times New Roman"/>
        </w:rPr>
        <w:t xml:space="preserve"> </w:t>
      </w:r>
      <w:r>
        <w:rPr>
          <w:rFonts w:ascii="Century Gothic" w:hAnsi="Century Gothic" w:cs="Times New Roman"/>
        </w:rPr>
        <w:t xml:space="preserve">on those imposed in </w:t>
      </w:r>
      <w:r w:rsidR="007959D7">
        <w:rPr>
          <w:rFonts w:ascii="Century Gothic" w:hAnsi="Century Gothic" w:cs="Times New Roman"/>
        </w:rPr>
        <w:t>2021/22</w:t>
      </w:r>
      <w:r w:rsidR="003663FE">
        <w:rPr>
          <w:rFonts w:ascii="Century Gothic" w:hAnsi="Century Gothic" w:cs="Times New Roman"/>
        </w:rPr>
        <w:t>.</w:t>
      </w:r>
    </w:p>
    <w:p w14:paraId="186C9D2D" w14:textId="77777777" w:rsidR="00726D6C" w:rsidRPr="00515030" w:rsidRDefault="00726D6C" w:rsidP="00687DBC">
      <w:pPr>
        <w:pStyle w:val="NoSpacing"/>
        <w:rPr>
          <w:rFonts w:ascii="Century Gothic" w:hAnsi="Century Gothic"/>
        </w:rPr>
      </w:pPr>
    </w:p>
    <w:p w14:paraId="19D68A7C" w14:textId="77777777" w:rsidR="00017197" w:rsidRPr="00DE1CE4" w:rsidRDefault="00017197" w:rsidP="00017197">
      <w:pPr>
        <w:pStyle w:val="Heading2"/>
        <w:rPr>
          <w:rFonts w:ascii="Century Gothic" w:hAnsi="Century Gothic" w:cs="Times New Roman"/>
          <w:color w:val="365F91" w:themeColor="accent1" w:themeShade="BF"/>
          <w:sz w:val="22"/>
          <w:szCs w:val="22"/>
          <w:u w:val="single"/>
        </w:rPr>
      </w:pPr>
      <w:r w:rsidRPr="00DE1CE4">
        <w:rPr>
          <w:rFonts w:ascii="Century Gothic" w:hAnsi="Century Gothic" w:cs="Times New Roman"/>
          <w:color w:val="365F91" w:themeColor="accent1" w:themeShade="BF"/>
          <w:sz w:val="22"/>
          <w:szCs w:val="22"/>
          <w:u w:val="single"/>
        </w:rPr>
        <w:t>Category 6 – Mining UV</w:t>
      </w:r>
    </w:p>
    <w:p w14:paraId="568B874B" w14:textId="408D7454" w:rsidR="00017197" w:rsidRPr="00515030" w:rsidRDefault="00017197" w:rsidP="00687DBC">
      <w:pPr>
        <w:autoSpaceDE w:val="0"/>
        <w:autoSpaceDN w:val="0"/>
        <w:adjustRightInd w:val="0"/>
        <w:spacing w:after="0" w:line="240" w:lineRule="auto"/>
        <w:jc w:val="both"/>
        <w:rPr>
          <w:rFonts w:ascii="Century Gothic" w:hAnsi="Century Gothic" w:cs="Times New Roman"/>
        </w:rPr>
      </w:pPr>
      <w:r w:rsidRPr="00515030">
        <w:rPr>
          <w:rFonts w:ascii="Century Gothic" w:hAnsi="Century Gothic" w:cs="Times New Roman"/>
        </w:rPr>
        <w:t>The Mining UV rate</w:t>
      </w:r>
      <w:r w:rsidR="00D47022">
        <w:rPr>
          <w:rFonts w:ascii="Century Gothic" w:hAnsi="Century Gothic" w:cs="Times New Roman"/>
        </w:rPr>
        <w:t xml:space="preserve"> category</w:t>
      </w:r>
      <w:r w:rsidRPr="00515030">
        <w:rPr>
          <w:rFonts w:ascii="Century Gothic" w:hAnsi="Century Gothic" w:cs="Times New Roman"/>
        </w:rPr>
        <w:t xml:space="preserve"> is levied on properties with a</w:t>
      </w:r>
      <w:r w:rsidR="00DE1CE4">
        <w:rPr>
          <w:rFonts w:ascii="Century Gothic" w:hAnsi="Century Gothic" w:cs="Times New Roman"/>
        </w:rPr>
        <w:t xml:space="preserve"> prospecting, exploration and</w:t>
      </w:r>
      <w:r w:rsidRPr="00515030">
        <w:rPr>
          <w:rFonts w:ascii="Century Gothic" w:hAnsi="Century Gothic" w:cs="Times New Roman"/>
        </w:rPr>
        <w:t xml:space="preserve"> mining land use. </w:t>
      </w:r>
    </w:p>
    <w:p w14:paraId="41D236B1" w14:textId="06403DAC" w:rsidR="00017197" w:rsidRDefault="00017197" w:rsidP="00687DBC">
      <w:pPr>
        <w:autoSpaceDE w:val="0"/>
        <w:autoSpaceDN w:val="0"/>
        <w:adjustRightInd w:val="0"/>
        <w:spacing w:after="0" w:line="240" w:lineRule="auto"/>
        <w:jc w:val="both"/>
        <w:rPr>
          <w:rFonts w:ascii="Century Gothic" w:hAnsi="Century Gothic" w:cs="Times New Roman"/>
        </w:rPr>
      </w:pPr>
    </w:p>
    <w:p w14:paraId="24570158" w14:textId="4F10AACF" w:rsidR="00D47022" w:rsidRPr="00D47022" w:rsidRDefault="00D47022" w:rsidP="00D47022">
      <w:pPr>
        <w:autoSpaceDE w:val="0"/>
        <w:autoSpaceDN w:val="0"/>
        <w:adjustRightInd w:val="0"/>
        <w:spacing w:after="0" w:line="240" w:lineRule="auto"/>
        <w:jc w:val="both"/>
        <w:rPr>
          <w:rFonts w:ascii="Century Gothic" w:hAnsi="Century Gothic" w:cs="Calibri"/>
          <w:color w:val="000000"/>
        </w:rPr>
      </w:pPr>
      <w:r w:rsidRPr="00D47022">
        <w:rPr>
          <w:rFonts w:ascii="Century Gothic" w:hAnsi="Century Gothic" w:cs="Calibri"/>
          <w:b/>
          <w:bCs/>
          <w:color w:val="000000"/>
        </w:rPr>
        <w:t xml:space="preserve">OBJECT: </w:t>
      </w:r>
      <w:r w:rsidRPr="00D47022">
        <w:rPr>
          <w:rFonts w:ascii="Century Gothic" w:hAnsi="Century Gothic" w:cs="Calibri"/>
          <w:color w:val="000000"/>
        </w:rPr>
        <w:t>The object of this differential rate is to raise additional revenue to fund cost impacts to</w:t>
      </w:r>
      <w:r>
        <w:rPr>
          <w:rFonts w:ascii="Century Gothic" w:hAnsi="Century Gothic" w:cs="Calibri"/>
          <w:color w:val="000000"/>
        </w:rPr>
        <w:t xml:space="preserve"> the Shire</w:t>
      </w:r>
      <w:r w:rsidRPr="00D47022">
        <w:rPr>
          <w:rFonts w:ascii="Century Gothic" w:hAnsi="Century Gothic" w:cs="Calibri"/>
          <w:color w:val="000000"/>
        </w:rPr>
        <w:t xml:space="preserve"> of the mining sector.</w:t>
      </w:r>
    </w:p>
    <w:p w14:paraId="7EDFC344" w14:textId="77777777" w:rsidR="00D47022" w:rsidRPr="00D47022" w:rsidRDefault="00D47022" w:rsidP="00D47022">
      <w:pPr>
        <w:autoSpaceDE w:val="0"/>
        <w:autoSpaceDN w:val="0"/>
        <w:adjustRightInd w:val="0"/>
        <w:spacing w:after="0" w:line="240" w:lineRule="auto"/>
        <w:jc w:val="both"/>
        <w:rPr>
          <w:rFonts w:ascii="Century Gothic" w:hAnsi="Century Gothic" w:cs="Calibri"/>
          <w:color w:val="000000"/>
        </w:rPr>
      </w:pPr>
    </w:p>
    <w:p w14:paraId="698A97DE" w14:textId="52A0B531" w:rsidR="00D47022" w:rsidRPr="00D47022" w:rsidRDefault="00D47022" w:rsidP="00D47022">
      <w:pPr>
        <w:autoSpaceDE w:val="0"/>
        <w:autoSpaceDN w:val="0"/>
        <w:adjustRightInd w:val="0"/>
        <w:spacing w:after="0" w:line="240" w:lineRule="auto"/>
        <w:jc w:val="both"/>
        <w:rPr>
          <w:rFonts w:ascii="Century Gothic" w:hAnsi="Century Gothic" w:cs="Times New Roman"/>
        </w:rPr>
      </w:pPr>
      <w:r w:rsidRPr="00D47022">
        <w:rPr>
          <w:rFonts w:ascii="Century Gothic" w:hAnsi="Century Gothic" w:cs="Calibri"/>
          <w:b/>
          <w:bCs/>
          <w:color w:val="000000"/>
        </w:rPr>
        <w:lastRenderedPageBreak/>
        <w:t xml:space="preserve">REASONS (why the rate differs from other categories): </w:t>
      </w:r>
      <w:r w:rsidRPr="00D47022">
        <w:rPr>
          <w:rFonts w:ascii="Century Gothic" w:hAnsi="Century Gothic" w:cs="Calibri"/>
          <w:color w:val="000000"/>
        </w:rPr>
        <w:t xml:space="preserve">Supports the large investment that the </w:t>
      </w:r>
      <w:r>
        <w:rPr>
          <w:rFonts w:ascii="Century Gothic" w:hAnsi="Century Gothic" w:cs="Calibri"/>
          <w:color w:val="000000"/>
        </w:rPr>
        <w:t>Shire of Yilgarn</w:t>
      </w:r>
      <w:r w:rsidRPr="00D47022">
        <w:rPr>
          <w:rFonts w:ascii="Century Gothic" w:hAnsi="Century Gothic" w:cs="Calibri"/>
          <w:color w:val="000000"/>
        </w:rPr>
        <w:t xml:space="preserve"> makes in road and road drainage infrastructure to service remote mining activities on rural roads throughout the municipality and reflects the extra maintenance, impacts and frequency that is required to ensure a minimum level of serviceability above that normally required to meet the needs of </w:t>
      </w:r>
      <w:r>
        <w:rPr>
          <w:rFonts w:ascii="Century Gothic" w:hAnsi="Century Gothic" w:cs="Calibri"/>
          <w:color w:val="000000"/>
        </w:rPr>
        <w:t>farmers (Rural UV</w:t>
      </w:r>
      <w:r w:rsidRPr="00D47022">
        <w:rPr>
          <w:rFonts w:ascii="Century Gothic" w:hAnsi="Century Gothic" w:cs="Calibri"/>
          <w:color w:val="000000"/>
        </w:rPr>
        <w:t>). Additional costs associated with monitoring of environmental impacts of clearing, noise, dust and smell.</w:t>
      </w:r>
    </w:p>
    <w:p w14:paraId="30D2E635" w14:textId="25D63C66" w:rsidR="00D47022" w:rsidRDefault="00D47022" w:rsidP="00687DBC">
      <w:pPr>
        <w:autoSpaceDE w:val="0"/>
        <w:autoSpaceDN w:val="0"/>
        <w:adjustRightInd w:val="0"/>
        <w:spacing w:after="0" w:line="240" w:lineRule="auto"/>
        <w:jc w:val="both"/>
        <w:rPr>
          <w:rFonts w:ascii="Century Gothic" w:hAnsi="Century Gothic" w:cs="Times New Roman"/>
        </w:rPr>
      </w:pPr>
    </w:p>
    <w:p w14:paraId="2FC84E13" w14:textId="531C2971" w:rsidR="003B3EB9" w:rsidRDefault="003B3EB9" w:rsidP="003B3EB9">
      <w:pPr>
        <w:autoSpaceDE w:val="0"/>
        <w:autoSpaceDN w:val="0"/>
        <w:adjustRightInd w:val="0"/>
        <w:spacing w:after="0" w:line="240" w:lineRule="auto"/>
        <w:jc w:val="both"/>
        <w:rPr>
          <w:rFonts w:ascii="Century Gothic" w:hAnsi="Century Gothic" w:cs="Times New Roman"/>
        </w:rPr>
      </w:pPr>
      <w:r>
        <w:rPr>
          <w:rFonts w:ascii="Century Gothic" w:hAnsi="Century Gothic" w:cs="Times New Roman"/>
        </w:rPr>
        <w:t>The proposed rate</w:t>
      </w:r>
      <w:r w:rsidRPr="00515030">
        <w:rPr>
          <w:rFonts w:ascii="Century Gothic" w:hAnsi="Century Gothic" w:cs="Times New Roman"/>
        </w:rPr>
        <w:t xml:space="preserve"> </w:t>
      </w:r>
      <w:r>
        <w:rPr>
          <w:rFonts w:ascii="Century Gothic" w:hAnsi="Century Gothic" w:cs="Times New Roman"/>
        </w:rPr>
        <w:t>of 17.</w:t>
      </w:r>
      <w:r w:rsidR="00B218EB">
        <w:rPr>
          <w:rFonts w:ascii="Century Gothic" w:hAnsi="Century Gothic" w:cs="Times New Roman"/>
        </w:rPr>
        <w:t>5667</w:t>
      </w:r>
      <w:r>
        <w:rPr>
          <w:rFonts w:ascii="Century Gothic" w:hAnsi="Century Gothic" w:cs="Times New Roman"/>
        </w:rPr>
        <w:t xml:space="preserve"> cents in the dollar </w:t>
      </w:r>
      <w:r w:rsidRPr="00515030">
        <w:rPr>
          <w:rFonts w:ascii="Century Gothic" w:hAnsi="Century Gothic" w:cs="Times New Roman"/>
        </w:rPr>
        <w:t xml:space="preserve">represents a </w:t>
      </w:r>
      <w:r w:rsidR="00651386">
        <w:rPr>
          <w:rFonts w:ascii="Century Gothic" w:hAnsi="Century Gothic" w:cs="Times New Roman"/>
        </w:rPr>
        <w:t>0.5%</w:t>
      </w:r>
      <w:r w:rsidRPr="00515030">
        <w:rPr>
          <w:rFonts w:ascii="Century Gothic" w:hAnsi="Century Gothic" w:cs="Times New Roman"/>
        </w:rPr>
        <w:t xml:space="preserve"> increase</w:t>
      </w:r>
      <w:r w:rsidRPr="008D7DC0">
        <w:rPr>
          <w:rFonts w:ascii="Century Gothic" w:hAnsi="Century Gothic" w:cs="Times New Roman"/>
        </w:rPr>
        <w:t xml:space="preserve"> </w:t>
      </w:r>
      <w:r>
        <w:rPr>
          <w:rFonts w:ascii="Century Gothic" w:hAnsi="Century Gothic" w:cs="Times New Roman"/>
        </w:rPr>
        <w:t xml:space="preserve">on those imposed in </w:t>
      </w:r>
      <w:r w:rsidR="007959D7">
        <w:rPr>
          <w:rFonts w:ascii="Century Gothic" w:hAnsi="Century Gothic" w:cs="Times New Roman"/>
        </w:rPr>
        <w:t>2021/22</w:t>
      </w:r>
      <w:r w:rsidR="003663FE">
        <w:rPr>
          <w:rFonts w:ascii="Century Gothic" w:hAnsi="Century Gothic" w:cs="Times New Roman"/>
        </w:rPr>
        <w:t>.</w:t>
      </w:r>
    </w:p>
    <w:p w14:paraId="6A752F5D" w14:textId="77777777" w:rsidR="008D7DC0" w:rsidRPr="00515030" w:rsidRDefault="008D7DC0" w:rsidP="00017197">
      <w:pPr>
        <w:spacing w:after="0"/>
        <w:rPr>
          <w:rFonts w:ascii="Century Gothic" w:hAnsi="Century Gothic" w:cs="Times New Roman"/>
          <w:sz w:val="28"/>
          <w:szCs w:val="28"/>
        </w:rPr>
      </w:pPr>
    </w:p>
    <w:p w14:paraId="578BCA6E" w14:textId="77777777" w:rsidR="0083281E" w:rsidRPr="00515030" w:rsidRDefault="00687DBC" w:rsidP="00687DBC">
      <w:pPr>
        <w:spacing w:after="0"/>
        <w:rPr>
          <w:rFonts w:ascii="Century Gothic" w:hAnsi="Century Gothic" w:cs="Times New Roman"/>
          <w:b/>
          <w:bCs/>
          <w:color w:val="365F91" w:themeColor="accent1" w:themeShade="BF"/>
          <w:sz w:val="28"/>
          <w:szCs w:val="28"/>
        </w:rPr>
      </w:pPr>
      <w:r w:rsidRPr="00515030">
        <w:rPr>
          <w:rFonts w:ascii="Century Gothic" w:hAnsi="Century Gothic" w:cs="Times New Roman"/>
          <w:b/>
          <w:bCs/>
          <w:color w:val="365F91" w:themeColor="accent1" w:themeShade="BF"/>
          <w:sz w:val="28"/>
          <w:szCs w:val="28"/>
        </w:rPr>
        <w:t>Minimum Rates</w:t>
      </w:r>
    </w:p>
    <w:p w14:paraId="28E1C79D" w14:textId="77777777" w:rsidR="00687DBC" w:rsidRPr="00515030" w:rsidRDefault="00687DBC" w:rsidP="00687DBC">
      <w:pPr>
        <w:spacing w:after="0"/>
        <w:rPr>
          <w:rFonts w:ascii="Century Gothic" w:hAnsi="Century Gothic" w:cs="Times New Roman"/>
          <w:b/>
          <w:bCs/>
          <w:color w:val="365F91" w:themeColor="accent1" w:themeShade="BF"/>
        </w:rPr>
      </w:pPr>
    </w:p>
    <w:p w14:paraId="78B389DB" w14:textId="7CD35DFB" w:rsidR="0083281E" w:rsidRPr="00515030" w:rsidRDefault="0083281E" w:rsidP="00687DBC">
      <w:pPr>
        <w:autoSpaceDE w:val="0"/>
        <w:autoSpaceDN w:val="0"/>
        <w:adjustRightInd w:val="0"/>
        <w:spacing w:after="0" w:line="240" w:lineRule="auto"/>
        <w:jc w:val="both"/>
        <w:rPr>
          <w:rFonts w:ascii="Century Gothic" w:hAnsi="Century Gothic" w:cs="Times New Roman"/>
          <w:color w:val="000000"/>
        </w:rPr>
      </w:pPr>
      <w:r w:rsidRPr="00515030">
        <w:rPr>
          <w:rFonts w:ascii="Century Gothic" w:hAnsi="Century Gothic" w:cs="Times New Roman"/>
          <w:color w:val="000000"/>
        </w:rPr>
        <w:t xml:space="preserve">The proposed minimum rates are the same as was applied in </w:t>
      </w:r>
      <w:r w:rsidR="007959D7">
        <w:rPr>
          <w:rFonts w:ascii="Century Gothic" w:hAnsi="Century Gothic" w:cs="Times New Roman"/>
          <w:color w:val="000000"/>
        </w:rPr>
        <w:t>2021/22</w:t>
      </w:r>
      <w:r w:rsidR="003663FE">
        <w:rPr>
          <w:rFonts w:ascii="Century Gothic" w:hAnsi="Century Gothic" w:cs="Times New Roman"/>
          <w:color w:val="000000"/>
        </w:rPr>
        <w:t>.</w:t>
      </w:r>
    </w:p>
    <w:p w14:paraId="1ABC7CC3" w14:textId="77777777" w:rsidR="0083281E" w:rsidRPr="00515030" w:rsidRDefault="0083281E" w:rsidP="00687DBC">
      <w:pPr>
        <w:autoSpaceDE w:val="0"/>
        <w:autoSpaceDN w:val="0"/>
        <w:adjustRightInd w:val="0"/>
        <w:spacing w:after="0" w:line="240" w:lineRule="auto"/>
        <w:jc w:val="both"/>
        <w:rPr>
          <w:rFonts w:ascii="Century Gothic" w:hAnsi="Century Gothic" w:cs="Times New Roman"/>
          <w:color w:val="000000"/>
        </w:rPr>
      </w:pPr>
    </w:p>
    <w:p w14:paraId="4C0B1563" w14:textId="77777777" w:rsidR="0083281E" w:rsidRPr="00515030" w:rsidRDefault="0083281E" w:rsidP="00687DBC">
      <w:pPr>
        <w:autoSpaceDE w:val="0"/>
        <w:autoSpaceDN w:val="0"/>
        <w:adjustRightInd w:val="0"/>
        <w:spacing w:after="0" w:line="240" w:lineRule="auto"/>
        <w:jc w:val="both"/>
        <w:rPr>
          <w:rFonts w:ascii="Century Gothic" w:hAnsi="Century Gothic" w:cs="Times New Roman"/>
          <w:color w:val="000000"/>
        </w:rPr>
      </w:pPr>
      <w:r w:rsidRPr="00515030">
        <w:rPr>
          <w:rFonts w:ascii="Century Gothic" w:hAnsi="Century Gothic" w:cs="Times New Roman"/>
          <w:color w:val="000000"/>
        </w:rPr>
        <w:t xml:space="preserve">The object and reason for the minimum rates is to ensure that all property owners in the Shire of Yilgarn are levied a unified and equitable minimum amount. It is also recognition that all </w:t>
      </w:r>
      <w:r w:rsidR="00A16BAE" w:rsidRPr="00515030">
        <w:rPr>
          <w:rFonts w:ascii="Century Gothic" w:hAnsi="Century Gothic" w:cs="Times New Roman"/>
          <w:color w:val="000000"/>
        </w:rPr>
        <w:t>rateable properties receive some minimum level of benefit from the works and services provided by the Shire.</w:t>
      </w:r>
    </w:p>
    <w:p w14:paraId="1FECCF0D" w14:textId="128B66A6" w:rsidR="00A16BAE" w:rsidRDefault="00A16BAE" w:rsidP="0083281E">
      <w:pPr>
        <w:autoSpaceDE w:val="0"/>
        <w:autoSpaceDN w:val="0"/>
        <w:adjustRightInd w:val="0"/>
        <w:spacing w:after="0" w:line="240" w:lineRule="auto"/>
        <w:rPr>
          <w:rFonts w:ascii="Century Gothic" w:hAnsi="Century Gothic" w:cs="Times New Roman"/>
          <w:color w:val="000000"/>
        </w:rPr>
      </w:pPr>
    </w:p>
    <w:p w14:paraId="08EDBA6F" w14:textId="77777777" w:rsidR="003B3EB9" w:rsidRPr="00515030" w:rsidRDefault="003B3EB9" w:rsidP="0083281E">
      <w:pPr>
        <w:autoSpaceDE w:val="0"/>
        <w:autoSpaceDN w:val="0"/>
        <w:adjustRightInd w:val="0"/>
        <w:spacing w:after="0" w:line="240" w:lineRule="auto"/>
        <w:rPr>
          <w:rFonts w:ascii="Century Gothic" w:hAnsi="Century Gothic" w:cs="Times New Roman"/>
          <w:color w:val="000000"/>
        </w:rPr>
      </w:pPr>
    </w:p>
    <w:p w14:paraId="5ACFEBDB" w14:textId="77777777" w:rsidR="00A16BAE" w:rsidRPr="00515030" w:rsidRDefault="00A16BAE" w:rsidP="0083281E">
      <w:pPr>
        <w:autoSpaceDE w:val="0"/>
        <w:autoSpaceDN w:val="0"/>
        <w:adjustRightInd w:val="0"/>
        <w:spacing w:after="0" w:line="240" w:lineRule="auto"/>
        <w:rPr>
          <w:rFonts w:ascii="Century Gothic" w:hAnsi="Century Gothic" w:cs="Times New Roman"/>
          <w:b/>
          <w:color w:val="365F91" w:themeColor="accent1" w:themeShade="BF"/>
          <w:sz w:val="28"/>
          <w:szCs w:val="28"/>
        </w:rPr>
      </w:pPr>
      <w:r w:rsidRPr="00515030">
        <w:rPr>
          <w:rFonts w:ascii="Century Gothic" w:hAnsi="Century Gothic" w:cs="Times New Roman"/>
          <w:b/>
          <w:color w:val="365F91" w:themeColor="accent1" w:themeShade="BF"/>
          <w:sz w:val="28"/>
          <w:szCs w:val="28"/>
        </w:rPr>
        <w:t>Submissions</w:t>
      </w:r>
    </w:p>
    <w:p w14:paraId="75980AFE" w14:textId="77777777" w:rsidR="0083281E" w:rsidRPr="00515030" w:rsidRDefault="0083281E" w:rsidP="0083281E">
      <w:pPr>
        <w:autoSpaceDE w:val="0"/>
        <w:autoSpaceDN w:val="0"/>
        <w:adjustRightInd w:val="0"/>
        <w:spacing w:after="0" w:line="240" w:lineRule="auto"/>
        <w:rPr>
          <w:rFonts w:ascii="Century Gothic" w:hAnsi="Century Gothic" w:cs="Times New Roman"/>
          <w:color w:val="000000"/>
        </w:rPr>
      </w:pPr>
      <w:r w:rsidRPr="00515030">
        <w:rPr>
          <w:rFonts w:ascii="Century Gothic" w:hAnsi="Century Gothic" w:cs="Times New Roman"/>
          <w:color w:val="000000"/>
        </w:rPr>
        <w:t xml:space="preserve"> </w:t>
      </w:r>
    </w:p>
    <w:p w14:paraId="45049C2E" w14:textId="62F6FD7A" w:rsidR="00076538" w:rsidRPr="00F933EF" w:rsidRDefault="0083281E" w:rsidP="0045577E">
      <w:pPr>
        <w:spacing w:after="0"/>
        <w:jc w:val="both"/>
        <w:rPr>
          <w:sz w:val="24"/>
          <w:szCs w:val="24"/>
        </w:rPr>
      </w:pPr>
      <w:r w:rsidRPr="00515030">
        <w:rPr>
          <w:rFonts w:ascii="Century Gothic" w:hAnsi="Century Gothic" w:cs="Times New Roman"/>
          <w:color w:val="000000"/>
        </w:rPr>
        <w:t xml:space="preserve">Submissions addressed to the Chief Executive Officer, Shire of Yilgarn, PO Box 86, Southern Cross 6426 by electors or ratepayers in respect of the Intention to Levy Differential Rates may be made to Council within </w:t>
      </w:r>
      <w:r w:rsidR="003B3EB9" w:rsidRPr="00515030">
        <w:rPr>
          <w:rFonts w:ascii="Century Gothic" w:hAnsi="Century Gothic" w:cs="Times New Roman"/>
          <w:color w:val="000000"/>
        </w:rPr>
        <w:t>twenty-one</w:t>
      </w:r>
      <w:r w:rsidRPr="00515030">
        <w:rPr>
          <w:rFonts w:ascii="Century Gothic" w:hAnsi="Century Gothic" w:cs="Times New Roman"/>
          <w:color w:val="000000"/>
        </w:rPr>
        <w:t xml:space="preserve"> (21) days of this notice and close 4pm on </w:t>
      </w:r>
      <w:r w:rsidR="00E96CDE">
        <w:rPr>
          <w:rFonts w:ascii="Century Gothic" w:hAnsi="Century Gothic" w:cs="Times New Roman"/>
          <w:color w:val="000000"/>
        </w:rPr>
        <w:t>Monday</w:t>
      </w:r>
      <w:r w:rsidR="008826DB" w:rsidRPr="00515030">
        <w:rPr>
          <w:rFonts w:ascii="Century Gothic" w:hAnsi="Century Gothic" w:cs="Times New Roman"/>
          <w:color w:val="000000"/>
        </w:rPr>
        <w:t xml:space="preserve"> </w:t>
      </w:r>
      <w:r w:rsidR="008D7DC0">
        <w:rPr>
          <w:rFonts w:ascii="Century Gothic" w:hAnsi="Century Gothic" w:cs="Times New Roman"/>
          <w:color w:val="000000"/>
        </w:rPr>
        <w:t>2</w:t>
      </w:r>
      <w:r w:rsidR="00041472">
        <w:rPr>
          <w:rFonts w:ascii="Century Gothic" w:hAnsi="Century Gothic" w:cs="Times New Roman"/>
          <w:color w:val="000000"/>
        </w:rPr>
        <w:t>3</w:t>
      </w:r>
      <w:r w:rsidR="00041472" w:rsidRPr="00041472">
        <w:rPr>
          <w:rFonts w:ascii="Century Gothic" w:hAnsi="Century Gothic" w:cs="Times New Roman"/>
          <w:color w:val="000000"/>
          <w:vertAlign w:val="superscript"/>
        </w:rPr>
        <w:t>rd</w:t>
      </w:r>
      <w:r w:rsidR="00041472">
        <w:rPr>
          <w:rFonts w:ascii="Century Gothic" w:hAnsi="Century Gothic" w:cs="Times New Roman"/>
          <w:color w:val="000000"/>
        </w:rPr>
        <w:t xml:space="preserve"> </w:t>
      </w:r>
      <w:r w:rsidR="008D7DC0">
        <w:rPr>
          <w:rFonts w:ascii="Century Gothic" w:hAnsi="Century Gothic" w:cs="Times New Roman"/>
          <w:color w:val="000000"/>
        </w:rPr>
        <w:t>May</w:t>
      </w:r>
      <w:r w:rsidRPr="00515030">
        <w:rPr>
          <w:rFonts w:ascii="Century Gothic" w:hAnsi="Century Gothic" w:cs="Times New Roman"/>
          <w:color w:val="000000"/>
        </w:rPr>
        <w:t xml:space="preserve"> 20</w:t>
      </w:r>
      <w:r w:rsidR="00E96CDE">
        <w:rPr>
          <w:rFonts w:ascii="Century Gothic" w:hAnsi="Century Gothic" w:cs="Times New Roman"/>
          <w:color w:val="000000"/>
        </w:rPr>
        <w:t>2</w:t>
      </w:r>
      <w:r w:rsidR="00041472">
        <w:rPr>
          <w:rFonts w:ascii="Century Gothic" w:hAnsi="Century Gothic" w:cs="Times New Roman"/>
          <w:color w:val="000000"/>
        </w:rPr>
        <w:t>2</w:t>
      </w:r>
      <w:r w:rsidRPr="00515030">
        <w:rPr>
          <w:rFonts w:ascii="Century Gothic" w:hAnsi="Century Gothic" w:cs="Times New Roman"/>
          <w:color w:val="000000"/>
        </w:rPr>
        <w:t>.</w:t>
      </w:r>
    </w:p>
    <w:sectPr w:rsidR="00076538" w:rsidRPr="00F933EF" w:rsidSect="00AA36EF">
      <w:headerReference w:type="default" r:id="rId9"/>
      <w:footerReference w:type="default" r:id="rId10"/>
      <w:pgSz w:w="11906" w:h="16838" w:code="9"/>
      <w:pgMar w:top="1871" w:right="1134" w:bottom="794" w:left="1134" w:header="28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CA1DC" w14:textId="77777777" w:rsidR="009C68C6" w:rsidRDefault="009C68C6" w:rsidP="009C68C6">
      <w:pPr>
        <w:spacing w:after="0" w:line="240" w:lineRule="auto"/>
      </w:pPr>
      <w:r>
        <w:separator/>
      </w:r>
    </w:p>
  </w:endnote>
  <w:endnote w:type="continuationSeparator" w:id="0">
    <w:p w14:paraId="09EED96F" w14:textId="77777777" w:rsidR="009C68C6" w:rsidRDefault="009C68C6" w:rsidP="009C6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color w:val="365F91" w:themeColor="accent1" w:themeShade="BF"/>
        <w:sz w:val="16"/>
        <w:szCs w:val="16"/>
      </w:rPr>
      <w:id w:val="658507052"/>
      <w:docPartObj>
        <w:docPartGallery w:val="Page Numbers (Bottom of Page)"/>
        <w:docPartUnique/>
      </w:docPartObj>
    </w:sdtPr>
    <w:sdtEndPr>
      <w:rPr>
        <w:spacing w:val="60"/>
      </w:rPr>
    </w:sdtEndPr>
    <w:sdtContent>
      <w:p w14:paraId="09473BD4" w14:textId="709999E0" w:rsidR="009C68C6" w:rsidRPr="009C68C6" w:rsidRDefault="009C68C6" w:rsidP="009C68C6">
        <w:pPr>
          <w:pStyle w:val="Footer"/>
          <w:pBdr>
            <w:top w:val="single" w:sz="4" w:space="1" w:color="D9D9D9" w:themeColor="background1" w:themeShade="D9"/>
          </w:pBdr>
          <w:rPr>
            <w:rFonts w:ascii="Century Gothic" w:hAnsi="Century Gothic"/>
            <w:b/>
            <w:bCs/>
            <w:color w:val="365F91" w:themeColor="accent1" w:themeShade="BF"/>
            <w:sz w:val="16"/>
            <w:szCs w:val="16"/>
          </w:rPr>
        </w:pPr>
        <w:r w:rsidRPr="003F46F8">
          <w:rPr>
            <w:rFonts w:ascii="Century Gothic" w:hAnsi="Century Gothic"/>
            <w:color w:val="365F91" w:themeColor="accent1" w:themeShade="BF"/>
            <w:sz w:val="16"/>
            <w:szCs w:val="16"/>
          </w:rPr>
          <w:fldChar w:fldCharType="begin"/>
        </w:r>
        <w:r w:rsidRPr="003F46F8">
          <w:rPr>
            <w:rFonts w:ascii="Century Gothic" w:hAnsi="Century Gothic"/>
            <w:color w:val="365F91" w:themeColor="accent1" w:themeShade="BF"/>
            <w:sz w:val="16"/>
            <w:szCs w:val="16"/>
          </w:rPr>
          <w:instrText xml:space="preserve"> PAGE   \* MERGEFORMAT </w:instrText>
        </w:r>
        <w:r w:rsidRPr="003F46F8">
          <w:rPr>
            <w:rFonts w:ascii="Century Gothic" w:hAnsi="Century Gothic"/>
            <w:color w:val="365F91" w:themeColor="accent1" w:themeShade="BF"/>
            <w:sz w:val="16"/>
            <w:szCs w:val="16"/>
          </w:rPr>
          <w:fldChar w:fldCharType="separate"/>
        </w:r>
        <w:r w:rsidR="00EB4A74" w:rsidRPr="00EB4A74">
          <w:rPr>
            <w:rFonts w:ascii="Century Gothic" w:hAnsi="Century Gothic"/>
            <w:b/>
            <w:bCs/>
            <w:noProof/>
            <w:color w:val="365F91" w:themeColor="accent1" w:themeShade="BF"/>
            <w:sz w:val="16"/>
            <w:szCs w:val="16"/>
          </w:rPr>
          <w:t>6</w:t>
        </w:r>
        <w:r w:rsidRPr="003F46F8">
          <w:rPr>
            <w:rFonts w:ascii="Century Gothic" w:hAnsi="Century Gothic"/>
            <w:b/>
            <w:bCs/>
            <w:noProof/>
            <w:color w:val="365F91" w:themeColor="accent1" w:themeShade="BF"/>
            <w:sz w:val="16"/>
            <w:szCs w:val="16"/>
          </w:rPr>
          <w:fldChar w:fldCharType="end"/>
        </w:r>
        <w:r w:rsidRPr="003F46F8">
          <w:rPr>
            <w:rFonts w:ascii="Century Gothic" w:hAnsi="Century Gothic"/>
            <w:b/>
            <w:bCs/>
            <w:color w:val="365F91" w:themeColor="accent1" w:themeShade="BF"/>
            <w:sz w:val="16"/>
            <w:szCs w:val="16"/>
          </w:rPr>
          <w:t xml:space="preserve"> | </w:t>
        </w:r>
        <w:r w:rsidRPr="003F46F8">
          <w:rPr>
            <w:rFonts w:ascii="Century Gothic" w:hAnsi="Century Gothic"/>
            <w:color w:val="365F91" w:themeColor="accent1" w:themeShade="BF"/>
            <w:spacing w:val="60"/>
            <w:sz w:val="16"/>
            <w:szCs w:val="16"/>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CAC5C" w14:textId="77777777" w:rsidR="009C68C6" w:rsidRDefault="009C68C6" w:rsidP="009C68C6">
      <w:pPr>
        <w:spacing w:after="0" w:line="240" w:lineRule="auto"/>
      </w:pPr>
      <w:r>
        <w:separator/>
      </w:r>
    </w:p>
  </w:footnote>
  <w:footnote w:type="continuationSeparator" w:id="0">
    <w:p w14:paraId="177681A0" w14:textId="77777777" w:rsidR="009C68C6" w:rsidRDefault="009C68C6" w:rsidP="009C68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A9156" w14:textId="77777777" w:rsidR="00AA36EF" w:rsidRDefault="00AA36EF" w:rsidP="00AA36EF">
    <w:pPr>
      <w:pBdr>
        <w:bottom w:val="single" w:sz="4" w:space="1" w:color="00B0F0"/>
      </w:pBdr>
      <w:tabs>
        <w:tab w:val="center" w:pos="4513"/>
        <w:tab w:val="right" w:pos="9026"/>
      </w:tabs>
      <w:spacing w:after="0" w:line="240" w:lineRule="auto"/>
      <w:rPr>
        <w:rFonts w:ascii="Century Gothic" w:hAnsi="Century Gothic"/>
        <w:color w:val="365F91" w:themeColor="accent1" w:themeShade="BF"/>
        <w:spacing w:val="60"/>
        <w:sz w:val="18"/>
        <w:szCs w:val="18"/>
      </w:rPr>
    </w:pPr>
    <w:bookmarkStart w:id="3" w:name="_Hlk507147554"/>
    <w:bookmarkStart w:id="4" w:name="_Hlk507147555"/>
    <w:bookmarkStart w:id="5" w:name="_Hlk507147684"/>
    <w:bookmarkStart w:id="6" w:name="_Hlk507147685"/>
    <w:r>
      <w:rPr>
        <w:rFonts w:ascii="Century Gothic" w:hAnsi="Century Gothic"/>
        <w:noProof/>
        <w:color w:val="365F91" w:themeColor="accent1" w:themeShade="BF"/>
        <w:spacing w:val="60"/>
        <w:sz w:val="18"/>
        <w:szCs w:val="18"/>
      </w:rPr>
      <w:drawing>
        <wp:anchor distT="0" distB="0" distL="114300" distR="114300" simplePos="0" relativeHeight="251658752" behindDoc="0" locked="0" layoutInCell="1" allowOverlap="0" wp14:anchorId="14D074DA" wp14:editId="3F420502">
          <wp:simplePos x="0" y="0"/>
          <wp:positionH relativeFrom="column">
            <wp:posOffset>879</wp:posOffset>
          </wp:positionH>
          <wp:positionV relativeFrom="paragraph">
            <wp:posOffset>1368</wp:posOffset>
          </wp:positionV>
          <wp:extent cx="831600" cy="720000"/>
          <wp:effectExtent l="0" t="0" r="6985" b="444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831600" cy="720000"/>
                  </a:xfrm>
                  <a:prstGeom prst="rect">
                    <a:avLst/>
                  </a:prstGeom>
                </pic:spPr>
              </pic:pic>
            </a:graphicData>
          </a:graphic>
          <wp14:sizeRelH relativeFrom="margin">
            <wp14:pctWidth>0</wp14:pctWidth>
          </wp14:sizeRelH>
          <wp14:sizeRelV relativeFrom="margin">
            <wp14:pctHeight>0</wp14:pctHeight>
          </wp14:sizeRelV>
        </wp:anchor>
      </w:drawing>
    </w:r>
  </w:p>
  <w:p w14:paraId="2992582C" w14:textId="77777777" w:rsidR="00AA36EF" w:rsidRDefault="00AA36EF" w:rsidP="00AA36EF">
    <w:pPr>
      <w:pBdr>
        <w:bottom w:val="single" w:sz="4" w:space="1" w:color="00B0F0"/>
      </w:pBdr>
      <w:tabs>
        <w:tab w:val="center" w:pos="4513"/>
        <w:tab w:val="right" w:pos="9026"/>
      </w:tabs>
      <w:spacing w:after="0" w:line="240" w:lineRule="auto"/>
      <w:rPr>
        <w:rFonts w:ascii="Century Gothic" w:hAnsi="Century Gothic"/>
        <w:color w:val="365F91" w:themeColor="accent1" w:themeShade="BF"/>
        <w:spacing w:val="60"/>
        <w:sz w:val="18"/>
        <w:szCs w:val="18"/>
      </w:rPr>
    </w:pPr>
  </w:p>
  <w:p w14:paraId="6F23CA82" w14:textId="77777777" w:rsidR="00AA36EF" w:rsidRDefault="00AA36EF" w:rsidP="00AA36EF">
    <w:pPr>
      <w:pBdr>
        <w:bottom w:val="single" w:sz="4" w:space="1" w:color="00B0F0"/>
      </w:pBdr>
      <w:tabs>
        <w:tab w:val="center" w:pos="4513"/>
        <w:tab w:val="right" w:pos="9026"/>
      </w:tabs>
      <w:spacing w:after="0" w:line="240" w:lineRule="auto"/>
      <w:rPr>
        <w:rFonts w:ascii="Century Gothic" w:hAnsi="Century Gothic"/>
        <w:color w:val="365F91" w:themeColor="accent1" w:themeShade="BF"/>
        <w:spacing w:val="60"/>
        <w:sz w:val="18"/>
        <w:szCs w:val="18"/>
      </w:rPr>
    </w:pPr>
  </w:p>
  <w:p w14:paraId="75AE7242" w14:textId="77777777" w:rsidR="00AA36EF" w:rsidRDefault="00AA36EF" w:rsidP="00AA36EF">
    <w:pPr>
      <w:pBdr>
        <w:bottom w:val="single" w:sz="4" w:space="1" w:color="00B0F0"/>
      </w:pBdr>
      <w:tabs>
        <w:tab w:val="center" w:pos="4513"/>
        <w:tab w:val="right" w:pos="9026"/>
      </w:tabs>
      <w:spacing w:after="0" w:line="240" w:lineRule="auto"/>
      <w:rPr>
        <w:rFonts w:ascii="Century Gothic" w:hAnsi="Century Gothic"/>
        <w:color w:val="365F91" w:themeColor="accent1" w:themeShade="BF"/>
        <w:spacing w:val="60"/>
        <w:sz w:val="18"/>
        <w:szCs w:val="18"/>
      </w:rPr>
    </w:pPr>
  </w:p>
  <w:p w14:paraId="20A11C5B" w14:textId="76E35140" w:rsidR="009C68C6" w:rsidRDefault="009C68C6" w:rsidP="00AA36EF">
    <w:pPr>
      <w:pBdr>
        <w:bottom w:val="single" w:sz="4" w:space="1" w:color="00B0F0"/>
      </w:pBdr>
      <w:tabs>
        <w:tab w:val="center" w:pos="4513"/>
        <w:tab w:val="right" w:pos="9026"/>
      </w:tabs>
      <w:spacing w:after="0" w:line="240" w:lineRule="auto"/>
      <w:jc w:val="right"/>
      <w:rPr>
        <w:rFonts w:ascii="Century Gothic" w:hAnsi="Century Gothic"/>
        <w:color w:val="365F91" w:themeColor="accent1" w:themeShade="BF"/>
        <w:spacing w:val="60"/>
        <w:sz w:val="18"/>
        <w:szCs w:val="18"/>
      </w:rPr>
    </w:pPr>
    <w:r w:rsidRPr="00153E40">
      <w:rPr>
        <w:rFonts w:ascii="Century Gothic" w:hAnsi="Century Gothic"/>
        <w:color w:val="365F91" w:themeColor="accent1" w:themeShade="BF"/>
        <w:spacing w:val="60"/>
        <w:sz w:val="18"/>
        <w:szCs w:val="18"/>
      </w:rPr>
      <w:t>20</w:t>
    </w:r>
    <w:r w:rsidR="001A33BD">
      <w:rPr>
        <w:rFonts w:ascii="Century Gothic" w:hAnsi="Century Gothic"/>
        <w:color w:val="365F91" w:themeColor="accent1" w:themeShade="BF"/>
        <w:spacing w:val="60"/>
        <w:sz w:val="18"/>
        <w:szCs w:val="18"/>
      </w:rPr>
      <w:t>2</w:t>
    </w:r>
    <w:r w:rsidR="00AA36EF">
      <w:rPr>
        <w:rFonts w:ascii="Century Gothic" w:hAnsi="Century Gothic"/>
        <w:color w:val="365F91" w:themeColor="accent1" w:themeShade="BF"/>
        <w:spacing w:val="60"/>
        <w:sz w:val="18"/>
        <w:szCs w:val="18"/>
      </w:rPr>
      <w:t>2</w:t>
    </w:r>
    <w:r w:rsidRPr="00153E40">
      <w:rPr>
        <w:rFonts w:ascii="Century Gothic" w:hAnsi="Century Gothic"/>
        <w:color w:val="365F91" w:themeColor="accent1" w:themeShade="BF"/>
        <w:spacing w:val="60"/>
        <w:sz w:val="18"/>
        <w:szCs w:val="18"/>
      </w:rPr>
      <w:t>/</w:t>
    </w:r>
    <w:r w:rsidR="008A2219">
      <w:rPr>
        <w:rFonts w:ascii="Century Gothic" w:hAnsi="Century Gothic"/>
        <w:color w:val="365F91" w:themeColor="accent1" w:themeShade="BF"/>
        <w:spacing w:val="60"/>
        <w:sz w:val="18"/>
        <w:szCs w:val="18"/>
      </w:rPr>
      <w:t>2</w:t>
    </w:r>
    <w:r w:rsidR="00AA36EF">
      <w:rPr>
        <w:rFonts w:ascii="Century Gothic" w:hAnsi="Century Gothic"/>
        <w:color w:val="365F91" w:themeColor="accent1" w:themeShade="BF"/>
        <w:spacing w:val="60"/>
        <w:sz w:val="18"/>
        <w:szCs w:val="18"/>
      </w:rPr>
      <w:t>3</w:t>
    </w:r>
    <w:r w:rsidRPr="00153E40">
      <w:rPr>
        <w:rFonts w:ascii="Century Gothic" w:hAnsi="Century Gothic"/>
        <w:color w:val="365F91" w:themeColor="accent1" w:themeShade="BF"/>
        <w:spacing w:val="60"/>
        <w:sz w:val="18"/>
        <w:szCs w:val="18"/>
      </w:rPr>
      <w:t xml:space="preserve"> </w:t>
    </w:r>
    <w:bookmarkEnd w:id="3"/>
    <w:bookmarkEnd w:id="4"/>
    <w:bookmarkEnd w:id="5"/>
    <w:bookmarkEnd w:id="6"/>
    <w:r>
      <w:rPr>
        <w:rFonts w:ascii="Century Gothic" w:hAnsi="Century Gothic"/>
        <w:color w:val="365F91" w:themeColor="accent1" w:themeShade="BF"/>
        <w:spacing w:val="60"/>
        <w:sz w:val="18"/>
        <w:szCs w:val="18"/>
      </w:rPr>
      <w:t>Object</w:t>
    </w:r>
    <w:r w:rsidR="0060256F">
      <w:rPr>
        <w:rFonts w:ascii="Century Gothic" w:hAnsi="Century Gothic"/>
        <w:color w:val="365F91" w:themeColor="accent1" w:themeShade="BF"/>
        <w:spacing w:val="60"/>
        <w:sz w:val="18"/>
        <w:szCs w:val="18"/>
      </w:rPr>
      <w:t>ive</w:t>
    </w:r>
    <w:r>
      <w:rPr>
        <w:rFonts w:ascii="Century Gothic" w:hAnsi="Century Gothic"/>
        <w:color w:val="365F91" w:themeColor="accent1" w:themeShade="BF"/>
        <w:spacing w:val="60"/>
        <w:sz w:val="18"/>
        <w:szCs w:val="18"/>
      </w:rPr>
      <w:t>s &amp; Reasons</w:t>
    </w:r>
  </w:p>
  <w:p w14:paraId="02E80295" w14:textId="4EBC15E7" w:rsidR="009C68C6" w:rsidRPr="00153E40" w:rsidRDefault="009C68C6" w:rsidP="009C68C6">
    <w:pPr>
      <w:pBdr>
        <w:bottom w:val="single" w:sz="4" w:space="1" w:color="00B0F0"/>
      </w:pBdr>
      <w:tabs>
        <w:tab w:val="center" w:pos="4513"/>
        <w:tab w:val="right" w:pos="9026"/>
      </w:tabs>
      <w:spacing w:after="0" w:line="240" w:lineRule="auto"/>
      <w:jc w:val="right"/>
      <w:rPr>
        <w:rFonts w:ascii="Century Gothic" w:hAnsi="Century Gothic"/>
        <w:color w:val="365F91" w:themeColor="accent1" w:themeShade="BF"/>
        <w:spacing w:val="60"/>
        <w:sz w:val="18"/>
        <w:szCs w:val="18"/>
      </w:rPr>
    </w:pPr>
    <w:r>
      <w:rPr>
        <w:rFonts w:ascii="Century Gothic" w:hAnsi="Century Gothic"/>
        <w:color w:val="365F91" w:themeColor="accent1" w:themeShade="BF"/>
        <w:spacing w:val="60"/>
        <w:sz w:val="18"/>
        <w:szCs w:val="18"/>
      </w:rPr>
      <w:t>Differential Rates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B04168"/>
    <w:multiLevelType w:val="hybridMultilevel"/>
    <w:tmpl w:val="D5AEF5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33EF"/>
    <w:rsid w:val="0000010E"/>
    <w:rsid w:val="000017B0"/>
    <w:rsid w:val="00011F8A"/>
    <w:rsid w:val="000135E0"/>
    <w:rsid w:val="00017197"/>
    <w:rsid w:val="00041472"/>
    <w:rsid w:val="0004524B"/>
    <w:rsid w:val="00076538"/>
    <w:rsid w:val="000A17A6"/>
    <w:rsid w:val="00123E9D"/>
    <w:rsid w:val="00131972"/>
    <w:rsid w:val="001A33BD"/>
    <w:rsid w:val="00231B2F"/>
    <w:rsid w:val="00237D3A"/>
    <w:rsid w:val="00240AD4"/>
    <w:rsid w:val="00277940"/>
    <w:rsid w:val="002E5DA7"/>
    <w:rsid w:val="00343EFE"/>
    <w:rsid w:val="003566A1"/>
    <w:rsid w:val="003663FE"/>
    <w:rsid w:val="003B3EB9"/>
    <w:rsid w:val="003D33AE"/>
    <w:rsid w:val="003D6408"/>
    <w:rsid w:val="0041230A"/>
    <w:rsid w:val="004123FD"/>
    <w:rsid w:val="0045577E"/>
    <w:rsid w:val="00486966"/>
    <w:rsid w:val="0049744B"/>
    <w:rsid w:val="004A6AB4"/>
    <w:rsid w:val="004B46AE"/>
    <w:rsid w:val="00503DB9"/>
    <w:rsid w:val="00515030"/>
    <w:rsid w:val="00527FEB"/>
    <w:rsid w:val="005776AC"/>
    <w:rsid w:val="00584D27"/>
    <w:rsid w:val="00591BF8"/>
    <w:rsid w:val="005C1603"/>
    <w:rsid w:val="0060256F"/>
    <w:rsid w:val="00651386"/>
    <w:rsid w:val="0066425D"/>
    <w:rsid w:val="00666433"/>
    <w:rsid w:val="00687DBC"/>
    <w:rsid w:val="006B1343"/>
    <w:rsid w:val="006B6AA4"/>
    <w:rsid w:val="006D09CA"/>
    <w:rsid w:val="00726D6C"/>
    <w:rsid w:val="00755E04"/>
    <w:rsid w:val="00793B25"/>
    <w:rsid w:val="007959D7"/>
    <w:rsid w:val="0083281E"/>
    <w:rsid w:val="008826DB"/>
    <w:rsid w:val="008931B4"/>
    <w:rsid w:val="008A2219"/>
    <w:rsid w:val="008D05C2"/>
    <w:rsid w:val="008D7DC0"/>
    <w:rsid w:val="008F3318"/>
    <w:rsid w:val="009A6A82"/>
    <w:rsid w:val="009C68C6"/>
    <w:rsid w:val="009E1CEA"/>
    <w:rsid w:val="009F3054"/>
    <w:rsid w:val="00A13054"/>
    <w:rsid w:val="00A16BAE"/>
    <w:rsid w:val="00A70B15"/>
    <w:rsid w:val="00A84891"/>
    <w:rsid w:val="00A84EE3"/>
    <w:rsid w:val="00AA36EF"/>
    <w:rsid w:val="00AE03E3"/>
    <w:rsid w:val="00B218EB"/>
    <w:rsid w:val="00B317C2"/>
    <w:rsid w:val="00B823FF"/>
    <w:rsid w:val="00BC5D83"/>
    <w:rsid w:val="00BF5E64"/>
    <w:rsid w:val="00C025B0"/>
    <w:rsid w:val="00C21028"/>
    <w:rsid w:val="00C93BD7"/>
    <w:rsid w:val="00CC5D70"/>
    <w:rsid w:val="00D108CD"/>
    <w:rsid w:val="00D47022"/>
    <w:rsid w:val="00D70406"/>
    <w:rsid w:val="00D90185"/>
    <w:rsid w:val="00DB32FC"/>
    <w:rsid w:val="00DC1C5F"/>
    <w:rsid w:val="00DD6DB9"/>
    <w:rsid w:val="00DE1CE4"/>
    <w:rsid w:val="00DE1EA2"/>
    <w:rsid w:val="00DE44DF"/>
    <w:rsid w:val="00E12EFC"/>
    <w:rsid w:val="00E409A8"/>
    <w:rsid w:val="00E96CDE"/>
    <w:rsid w:val="00EB4A74"/>
    <w:rsid w:val="00EC445D"/>
    <w:rsid w:val="00F6655D"/>
    <w:rsid w:val="00F933EF"/>
    <w:rsid w:val="00FF45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C2F451"/>
  <w15:docId w15:val="{EE0F6132-A9B5-4B7B-9E0A-DD3F196F8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55E0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33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3EF"/>
    <w:rPr>
      <w:rFonts w:ascii="Tahoma" w:hAnsi="Tahoma" w:cs="Tahoma"/>
      <w:sz w:val="16"/>
      <w:szCs w:val="16"/>
    </w:rPr>
  </w:style>
  <w:style w:type="paragraph" w:customStyle="1" w:styleId="Default">
    <w:name w:val="Default"/>
    <w:rsid w:val="00A8489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755E04"/>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687DBC"/>
    <w:pPr>
      <w:spacing w:after="0" w:line="240" w:lineRule="auto"/>
    </w:pPr>
  </w:style>
  <w:style w:type="table" w:styleId="TableGrid">
    <w:name w:val="Table Grid"/>
    <w:basedOn w:val="TableNormal"/>
    <w:uiPriority w:val="59"/>
    <w:rsid w:val="00893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68C6"/>
    <w:pPr>
      <w:ind w:left="720"/>
      <w:contextualSpacing/>
    </w:pPr>
  </w:style>
  <w:style w:type="paragraph" w:styleId="Header">
    <w:name w:val="header"/>
    <w:basedOn w:val="Normal"/>
    <w:link w:val="HeaderChar"/>
    <w:uiPriority w:val="99"/>
    <w:unhideWhenUsed/>
    <w:rsid w:val="009C68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68C6"/>
  </w:style>
  <w:style w:type="paragraph" w:styleId="Footer">
    <w:name w:val="footer"/>
    <w:basedOn w:val="Normal"/>
    <w:link w:val="FooterChar"/>
    <w:uiPriority w:val="99"/>
    <w:unhideWhenUsed/>
    <w:rsid w:val="009C68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6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accent1">
                    <a:lumMod val="75000"/>
                  </a:schemeClr>
                </a:solidFill>
                <a:latin typeface="+mn-lt"/>
                <a:ea typeface="+mn-ea"/>
                <a:cs typeface="+mn-cs"/>
              </a:defRPr>
            </a:pPr>
            <a:r>
              <a:rPr lang="en-AU" baseline="0">
                <a:solidFill>
                  <a:schemeClr val="accent1">
                    <a:lumMod val="75000"/>
                  </a:schemeClr>
                </a:solidFill>
              </a:rPr>
              <a:t>Indicative Percentage of Rates Contribution by Differential</a:t>
            </a:r>
          </a:p>
        </c:rich>
      </c:tx>
      <c:layout>
        <c:manualLayout>
          <c:xMode val="edge"/>
          <c:yMode val="edge"/>
          <c:x val="0.1799762306084349"/>
          <c:y val="0"/>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accent1">
                  <a:lumMod val="75000"/>
                </a:schemeClr>
              </a:solidFill>
              <a:latin typeface="+mn-lt"/>
              <a:ea typeface="+mn-ea"/>
              <a:cs typeface="+mn-cs"/>
            </a:defRPr>
          </a:pPr>
          <a:endParaRPr lang="en-US"/>
        </a:p>
      </c:txPr>
    </c:title>
    <c:autoTitleDeleted val="0"/>
    <c:plotArea>
      <c:layout>
        <c:manualLayout>
          <c:layoutTarget val="inner"/>
          <c:xMode val="edge"/>
          <c:yMode val="edge"/>
          <c:x val="0.1542920783127579"/>
          <c:y val="0.15002161793729271"/>
          <c:w val="0.7088131989764328"/>
          <c:h val="0.65798744633664974"/>
        </c:manualLayout>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6076-4566-9810-C2D9E87C46BB}"/>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6076-4566-9810-C2D9E87C46BB}"/>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6076-4566-9810-C2D9E87C46BB}"/>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6076-4566-9810-C2D9E87C46BB}"/>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09-6076-4566-9810-C2D9E87C46BB}"/>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0B-6076-4566-9810-C2D9E87C46BB}"/>
              </c:ext>
            </c:extLst>
          </c:dPt>
          <c:dLbls>
            <c:dLbl>
              <c:idx val="0"/>
              <c:layout>
                <c:manualLayout>
                  <c:x val="-5.4262217839673263E-2"/>
                  <c:y val="0.1296598099656147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076-4566-9810-C2D9E87C46BB}"/>
                </c:ext>
              </c:extLst>
            </c:dLbl>
            <c:dLbl>
              <c:idx val="1"/>
              <c:layout>
                <c:manualLayout>
                  <c:x val="-5.9456490172548893E-3"/>
                  <c:y val="-1.0157887240839082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076-4566-9810-C2D9E87C46BB}"/>
                </c:ext>
              </c:extLst>
            </c:dLbl>
            <c:dLbl>
              <c:idx val="2"/>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5-6076-4566-9810-C2D9E87C46BB}"/>
                </c:ext>
              </c:extLst>
            </c:dLbl>
            <c:dLbl>
              <c:idx val="3"/>
              <c:layout>
                <c:manualLayout>
                  <c:x val="2.8584951150417263E-2"/>
                  <c:y val="1.051699932857233E-2"/>
                </c:manualLayout>
              </c:layout>
              <c:tx>
                <c:rich>
                  <a:bodyPr/>
                  <a:lstStyle/>
                  <a:p>
                    <a:fld id="{236401DA-F187-471D-8B5A-0BAA460D4E09}" type="VALUE">
                      <a:rPr lang="en-US" baseline="0">
                        <a:solidFill>
                          <a:schemeClr val="tx1"/>
                        </a:solidFill>
                      </a:rPr>
                      <a:pPr/>
                      <a:t>[VALUE]</a:t>
                    </a:fld>
                    <a:endParaRPr lang="en-A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6076-4566-9810-C2D9E87C46BB}"/>
                </c:ext>
              </c:extLst>
            </c:dLbl>
            <c:dLbl>
              <c:idx val="4"/>
              <c:layout>
                <c:manualLayout>
                  <c:x val="-0.11021436169954396"/>
                  <c:y val="-0.1578801196362082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076-4566-9810-C2D9E87C46BB}"/>
                </c:ext>
              </c:extLst>
            </c:dLbl>
            <c:dLbl>
              <c:idx val="5"/>
              <c:layout>
                <c:manualLayout>
                  <c:x val="0.15479379081316255"/>
                  <c:y val="8.37140633583592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076-4566-9810-C2D9E87C46B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Sheet1!$F$20:$F$25</c:f>
              <c:strCache>
                <c:ptCount val="6"/>
                <c:pt idx="0">
                  <c:v>GRV Residential/Industrial</c:v>
                </c:pt>
                <c:pt idx="1">
                  <c:v>GRV Commercial</c:v>
                </c:pt>
                <c:pt idx="2">
                  <c:v>GRV Minesites</c:v>
                </c:pt>
                <c:pt idx="3">
                  <c:v>GRV Single Persons Quarters</c:v>
                </c:pt>
                <c:pt idx="4">
                  <c:v>UV Rural</c:v>
                </c:pt>
                <c:pt idx="5">
                  <c:v>UV Mining</c:v>
                </c:pt>
              </c:strCache>
            </c:strRef>
          </c:cat>
          <c:val>
            <c:numRef>
              <c:f>Sheet1!$G$20:$G$25</c:f>
              <c:numCache>
                <c:formatCode>0.00%</c:formatCode>
                <c:ptCount val="6"/>
                <c:pt idx="0">
                  <c:v>9.5377755624492605E-2</c:v>
                </c:pt>
                <c:pt idx="1">
                  <c:v>1.8989562676927037E-2</c:v>
                </c:pt>
                <c:pt idx="2">
                  <c:v>2.0178576146558172E-2</c:v>
                </c:pt>
                <c:pt idx="3">
                  <c:v>3.1001252343869169E-2</c:v>
                </c:pt>
                <c:pt idx="4">
                  <c:v>0.4498763956809419</c:v>
                </c:pt>
                <c:pt idx="5">
                  <c:v>0.38457645752721126</c:v>
                </c:pt>
              </c:numCache>
            </c:numRef>
          </c:val>
          <c:extLst>
            <c:ext xmlns:c16="http://schemas.microsoft.com/office/drawing/2014/chart" uri="{C3380CC4-5D6E-409C-BE32-E72D297353CC}">
              <c16:uniqueId val="{0000000C-6076-4566-9810-C2D9E87C46BB}"/>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2.9338521148767571E-2"/>
          <c:y val="0.86865043032411648"/>
          <c:w val="0.94337930152315164"/>
          <c:h val="0.1119697247146432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901</TotalTime>
  <Pages>7</Pages>
  <Words>1783</Words>
  <Characters>10169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Vivienne Piccoli</dc:creator>
  <cp:lastModifiedBy>Cameron Watson</cp:lastModifiedBy>
  <cp:revision>37</cp:revision>
  <cp:lastPrinted>2019-03-07T08:01:00Z</cp:lastPrinted>
  <dcterms:created xsi:type="dcterms:W3CDTF">2017-07-11T01:45:00Z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K4A2DAA80</vt:lpwstr>
  </property>
</Properties>
</file>